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eastAsia="方正小标宋简体"/>
          <w:spacing w:val="-3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676900" cy="16160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1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23"/>
                                <w:sz w:val="52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23"/>
                                <w:sz w:val="52"/>
                              </w:rPr>
                              <w:t>广 西 壮 族 自 治 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beforeLines="5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方正大标宋简体"/>
                                <w:bCs/>
                                <w:color w:val="FF0000"/>
                                <w:spacing w:val="170"/>
                                <w:sz w:val="88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170"/>
                                <w:sz w:val="88"/>
                              </w:rPr>
                              <w:t>水 利 厅 文 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55pt;height:127.25pt;width:447pt;z-index:251659264;mso-width-relative:page;mso-height-relative:page;" filled="f" stroked="f" coordsize="21600,21600" o:gfxdata="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WXRmrVAAAABwEAAA8AAAAAAAAAAQAg&#10;AAAAIgAAAGRycy9kb3ducmV2LnhtbFBLAQIUABQAAAAIAIdO4kCKVx7unwEAABgDAAAOAAAAAAAA&#10;AAEAIAAAACQ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方正小标宋简体"/>
                          <w:bCs/>
                          <w:color w:val="FF0000"/>
                          <w:spacing w:val="23"/>
                          <w:sz w:val="52"/>
                        </w:rPr>
                      </w:pPr>
                      <w:r>
                        <w:rPr>
                          <w:rFonts w:hint="eastAsia" w:eastAsia="方正小标宋简体"/>
                          <w:bCs/>
                          <w:color w:val="FF0000"/>
                          <w:spacing w:val="23"/>
                          <w:sz w:val="52"/>
                        </w:rPr>
                        <w:t>广 西 壮 族 自 治 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20" w:beforeLines="50"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方正大标宋简体"/>
                          <w:bCs/>
                          <w:color w:val="FF0000"/>
                          <w:spacing w:val="170"/>
                          <w:sz w:val="88"/>
                        </w:rPr>
                      </w:pPr>
                      <w:r>
                        <w:rPr>
                          <w:rFonts w:hint="eastAsia" w:eastAsia="方正小标宋简体"/>
                          <w:bCs/>
                          <w:color w:val="FF0000"/>
                          <w:spacing w:val="170"/>
                          <w:sz w:val="88"/>
                        </w:rPr>
                        <w:t>水 利 厅 文 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方正小标宋简体"/>
          <w:spacing w:val="-30"/>
          <w:sz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方正小标宋简体"/>
          <w:spacing w:val="-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桂水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节约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方正小标宋简体"/>
          <w:spacing w:val="-30"/>
        </w:rPr>
      </w:pPr>
      <w:r>
        <w:rPr>
          <w:rFonts w:eastAsia="方正小标宋简体"/>
          <w:spacing w:val="-3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76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05pt;height:0pt;width:447pt;z-index:251658240;mso-width-relative:page;mso-height-relative:page;" filled="f" stroked="t" coordsize="21600,21600" o:gfxdata="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tCE9LVAAAABgEAAA8A&#10;AAAAAAAAAQAgAAAAIgAAAGRycy9kb3ducmV2LnhtbFBLAQIUABQAAAAIAIdO4kDtZd+C4QEAAKED&#10;AAAOAAAAAAAAAAEAIAAAACQ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2"/>
          <w:szCs w:val="42"/>
        </w:rPr>
      </w:pPr>
      <w:r>
        <w:rPr>
          <w:rFonts w:hint="eastAsia" w:ascii="方正小标宋简体" w:hAnsi="宋体" w:eastAsia="方正小标宋简体"/>
          <w:spacing w:val="0"/>
          <w:sz w:val="42"/>
          <w:szCs w:val="42"/>
        </w:rPr>
        <w:t>自治区水利厅关于公布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2"/>
          <w:szCs w:val="42"/>
        </w:rPr>
      </w:pPr>
      <w:r>
        <w:rPr>
          <w:rFonts w:hint="eastAsia" w:ascii="方正小标宋简体" w:hAnsi="宋体" w:eastAsia="方正小标宋简体"/>
          <w:spacing w:val="0"/>
          <w:sz w:val="42"/>
          <w:szCs w:val="42"/>
        </w:rPr>
        <w:t>广西2021年第二批节水型高校的通知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</w:rPr>
        <w:t>各高等学校：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8" w:lineRule="exact"/>
        <w:ind w:left="0" w:leftChars="0" w:right="0" w:rightChars="0" w:firstLine="640"/>
        <w:jc w:val="both"/>
        <w:textAlignment w:val="auto"/>
        <w:rPr>
          <w:rFonts w:cs="Times New Roman"/>
          <w:spacing w:val="0"/>
        </w:rPr>
      </w:pPr>
      <w:r>
        <w:rPr>
          <w:rFonts w:cs="Times New Roman"/>
          <w:spacing w:val="0"/>
        </w:rPr>
        <w:t>为深入贯彻节水优先方针，</w:t>
      </w:r>
      <w:r>
        <w:rPr>
          <w:rFonts w:hint="eastAsia" w:cs="Times New Roman"/>
          <w:spacing w:val="0"/>
        </w:rPr>
        <w:t>根据《自治区住房城乡建设厅自治区教育厅 自治区水利厅 自治区机关事务管理局关于下达2021—2022年公共机构节水型单位创建和复核计划的通知》（桂建城〔2021〕6号），自治区水利厅会同自治区教育厅、住房城乡建设厅和自治区机关事务管理局完成2</w:t>
      </w:r>
      <w:r>
        <w:rPr>
          <w:rFonts w:cs="Times New Roman"/>
          <w:spacing w:val="0"/>
        </w:rPr>
        <w:t>021</w:t>
      </w:r>
      <w:r>
        <w:rPr>
          <w:rFonts w:hint="eastAsia" w:cs="Times New Roman"/>
          <w:spacing w:val="0"/>
        </w:rPr>
        <w:t>年第二批节水型高校的认定工作，</w:t>
      </w:r>
      <w:r>
        <w:rPr>
          <w:rFonts w:cs="Times New Roman"/>
          <w:spacing w:val="0"/>
        </w:rPr>
        <w:t>42</w:t>
      </w:r>
      <w:r>
        <w:rPr>
          <w:rFonts w:hint="eastAsia" w:cs="Times New Roman"/>
          <w:spacing w:val="0"/>
        </w:rPr>
        <w:t>个申报第二批节水型高校的校区中，1</w:t>
      </w:r>
      <w:r>
        <w:rPr>
          <w:rFonts w:cs="Times New Roman"/>
          <w:spacing w:val="0"/>
        </w:rPr>
        <w:t>3</w:t>
      </w:r>
      <w:r>
        <w:rPr>
          <w:rFonts w:hint="eastAsia" w:cs="Times New Roman"/>
          <w:spacing w:val="0"/>
        </w:rPr>
        <w:t>个校区通过本次申报申请，现正式认定为“节水型高校”，</w:t>
      </w:r>
      <w:r>
        <w:rPr>
          <w:rFonts w:cs="Times New Roman"/>
          <w:spacing w:val="0"/>
        </w:rPr>
        <w:t>评审结果详见附件</w:t>
      </w:r>
      <w:r>
        <w:rPr>
          <w:rFonts w:hint="eastAsia" w:cs="Times New Roman"/>
          <w:spacing w:val="0"/>
        </w:rPr>
        <w:t>。</w:t>
      </w:r>
      <w:r>
        <w:rPr>
          <w:rFonts w:cs="Times New Roman"/>
          <w:spacing w:val="0"/>
        </w:rPr>
        <w:t>现将有关事项说明如下：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/>
        <w:jc w:val="both"/>
        <w:textAlignment w:val="auto"/>
        <w:rPr>
          <w:rFonts w:ascii="黑体" w:hAnsi="黑体" w:eastAsia="黑体" w:cs="Times New Roman"/>
          <w:spacing w:val="0"/>
        </w:rPr>
      </w:pPr>
      <w:r>
        <w:rPr>
          <w:rFonts w:hint="eastAsia" w:ascii="黑体" w:hAnsi="黑体" w:eastAsia="黑体" w:cs="Times New Roman"/>
          <w:spacing w:val="0"/>
        </w:rPr>
        <w:t>一、评审情况说明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/>
        <w:jc w:val="both"/>
        <w:textAlignment w:val="auto"/>
        <w:rPr>
          <w:rFonts w:cs="Times New Roman"/>
          <w:spacing w:val="0"/>
        </w:rPr>
      </w:pPr>
      <w:r>
        <w:rPr>
          <w:rFonts w:hint="eastAsia" w:cs="Times New Roman"/>
          <w:spacing w:val="0"/>
        </w:rPr>
        <w:t>（一）柳州职业技术学院（官塘校区）</w:t>
      </w:r>
      <w:r>
        <w:rPr>
          <w:rFonts w:cs="Times New Roman"/>
          <w:spacing w:val="0"/>
        </w:rPr>
        <w:t>等13个评审通过的校区，自治区水利厅、教育厅、住房城乡建设厅和机关事务管理局将于2022年5月全国城市节约用水宣传周期间，在广西广播电视台为相关学校举行节水型高校授牌仪式，具体时间、地点另行文件通知。同时，通过评审的学校要根据评审意见进一步完善节水型高校建设，自治区水利厅将不定期对整改情况进行抽查，5年后开展全面复核。本次各有关单位的整改情况结合各单位工作目标，一并写入年度工作总结，不再单独提交整改报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/>
        <w:jc w:val="both"/>
        <w:textAlignment w:val="auto"/>
        <w:rPr>
          <w:rFonts w:cs="Times New Roman"/>
          <w:spacing w:val="0"/>
        </w:rPr>
      </w:pPr>
      <w:r>
        <w:rPr>
          <w:rFonts w:hint="eastAsia" w:cs="Times New Roman"/>
          <w:spacing w:val="0"/>
        </w:rPr>
        <w:t>（二）</w:t>
      </w:r>
      <w:r>
        <w:rPr>
          <w:rFonts w:cs="Times New Roman"/>
          <w:spacing w:val="0"/>
        </w:rPr>
        <w:t>29个未通过本次复核申请的校区，要根据评审意见及时整改</w:t>
      </w:r>
      <w:r>
        <w:rPr>
          <w:rFonts w:hint="eastAsia" w:cs="Times New Roman"/>
          <w:spacing w:val="0"/>
        </w:rPr>
        <w:t>，2</w:t>
      </w:r>
      <w:r>
        <w:rPr>
          <w:rFonts w:cs="Times New Roman"/>
          <w:spacing w:val="0"/>
        </w:rPr>
        <w:t>022年可再次申报，申报方式另行文件通知。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/>
        <w:jc w:val="both"/>
        <w:textAlignment w:val="auto"/>
        <w:rPr>
          <w:rFonts w:cs="Times New Roman"/>
          <w:spacing w:val="0"/>
        </w:rPr>
      </w:pPr>
      <w:r>
        <w:rPr>
          <w:rFonts w:hint="eastAsia" w:cs="Times New Roman"/>
          <w:spacing w:val="0"/>
        </w:rPr>
        <w:t>（三）桂林电子科技大学信息科技学院系本年度搬迁校区，同意暂缓创建。建议在搬入新校区前后，做好“节水三同时”，确保2</w:t>
      </w:r>
      <w:r>
        <w:rPr>
          <w:rFonts w:cs="Times New Roman"/>
          <w:spacing w:val="0"/>
        </w:rPr>
        <w:t>022</w:t>
      </w:r>
      <w:r>
        <w:rPr>
          <w:rFonts w:hint="eastAsia" w:cs="Times New Roman"/>
          <w:spacing w:val="0"/>
        </w:rPr>
        <w:t>年底前建成节水型高校。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/>
        <w:jc w:val="both"/>
        <w:textAlignment w:val="auto"/>
        <w:rPr>
          <w:rFonts w:cs="Times New Roman"/>
          <w:spacing w:val="0"/>
        </w:rPr>
      </w:pPr>
      <w:r>
        <w:rPr>
          <w:rFonts w:hint="eastAsia" w:cs="Times New Roman"/>
          <w:spacing w:val="0"/>
        </w:rPr>
        <w:t>（四）根据《自治区水利厅 自治区教育厅关于公布2021年第一批节水型高校的通知》（桂水节约〔2021〕7号），本年度有创建任务的84个校区须上报材料，现有南宁师范大学（明秀校区）等</w:t>
      </w:r>
      <w:r>
        <w:rPr>
          <w:rFonts w:cs="Times New Roman"/>
          <w:spacing w:val="0"/>
        </w:rPr>
        <w:t>39</w:t>
      </w:r>
      <w:r>
        <w:rPr>
          <w:rFonts w:hint="eastAsia" w:cs="Times New Roman"/>
          <w:spacing w:val="0"/>
        </w:rPr>
        <w:t>个校区，截至2</w:t>
      </w:r>
      <w:r>
        <w:rPr>
          <w:rFonts w:cs="Times New Roman"/>
          <w:spacing w:val="0"/>
        </w:rPr>
        <w:t>021</w:t>
      </w:r>
      <w:r>
        <w:rPr>
          <w:rFonts w:hint="eastAsia" w:cs="Times New Roman"/>
          <w:spacing w:val="0"/>
        </w:rPr>
        <w:t>年1</w:t>
      </w:r>
      <w:r>
        <w:rPr>
          <w:rFonts w:cs="Times New Roman"/>
          <w:spacing w:val="0"/>
        </w:rPr>
        <w:t>2</w:t>
      </w:r>
      <w:r>
        <w:rPr>
          <w:rFonts w:hint="eastAsia" w:cs="Times New Roman"/>
          <w:spacing w:val="0"/>
        </w:rPr>
        <w:t>月</w:t>
      </w:r>
      <w:r>
        <w:rPr>
          <w:rFonts w:cs="Times New Roman"/>
          <w:spacing w:val="0"/>
        </w:rPr>
        <w:t>8</w:t>
      </w:r>
      <w:r>
        <w:rPr>
          <w:rFonts w:hint="eastAsia" w:cs="Times New Roman"/>
          <w:spacing w:val="0"/>
        </w:rPr>
        <w:t>日（超过报送日期2</w:t>
      </w:r>
      <w:r>
        <w:rPr>
          <w:rFonts w:cs="Times New Roman"/>
          <w:spacing w:val="0"/>
        </w:rPr>
        <w:t>0</w:t>
      </w:r>
      <w:r>
        <w:rPr>
          <w:rFonts w:hint="eastAsia" w:cs="Times New Roman"/>
          <w:spacing w:val="0"/>
        </w:rPr>
        <w:t>天以上），仍未上报材料和任何说明文件。经研究决定，该</w:t>
      </w:r>
      <w:r>
        <w:rPr>
          <w:rFonts w:cs="Times New Roman"/>
          <w:spacing w:val="0"/>
        </w:rPr>
        <w:t>39</w:t>
      </w:r>
      <w:r>
        <w:rPr>
          <w:rFonts w:hint="eastAsia" w:cs="Times New Roman"/>
          <w:spacing w:val="0"/>
        </w:rPr>
        <w:t>个校区全部纳入2</w:t>
      </w:r>
      <w:r>
        <w:rPr>
          <w:rFonts w:cs="Times New Roman"/>
          <w:spacing w:val="0"/>
        </w:rPr>
        <w:t>022</w:t>
      </w:r>
      <w:r>
        <w:rPr>
          <w:rFonts w:hint="eastAsia" w:cs="Times New Roman"/>
          <w:spacing w:val="0"/>
        </w:rPr>
        <w:t>年自治区节水监督检查范围，具体检查通知以自治区水利厅发文为准。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Times New Roman"/>
          <w:spacing w:val="0"/>
        </w:rPr>
      </w:pPr>
      <w:r>
        <w:rPr>
          <w:rFonts w:hint="eastAsia" w:ascii="黑体" w:hAnsi="黑体" w:eastAsia="黑体" w:cs="Times New Roman"/>
          <w:spacing w:val="0"/>
        </w:rPr>
        <w:t>二、节水型高校奖补说明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8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  <w:spacing w:val="0"/>
        </w:rPr>
      </w:pPr>
      <w:r>
        <w:rPr>
          <w:rFonts w:hint="eastAsia" w:cs="Times New Roman"/>
          <w:spacing w:val="0"/>
        </w:rPr>
        <w:t>截至2021年12月10日，广西共计82所高校113个校区，其中北海职业学院（北校区）、北海职业学院（工业园校区）产权系租赁性质，暂不纳入节水型高校创建基数，创建基数计111，节水型高校累计建成2</w:t>
      </w:r>
      <w:r>
        <w:rPr>
          <w:rFonts w:cs="Times New Roman"/>
          <w:spacing w:val="0"/>
        </w:rPr>
        <w:t>4</w:t>
      </w:r>
      <w:r>
        <w:rPr>
          <w:rFonts w:hint="eastAsia" w:cs="Times New Roman"/>
          <w:spacing w:val="0"/>
        </w:rPr>
        <w:t>个，建成率2</w:t>
      </w:r>
      <w:r>
        <w:rPr>
          <w:rFonts w:cs="Times New Roman"/>
          <w:spacing w:val="0"/>
        </w:rPr>
        <w:t>1</w:t>
      </w:r>
      <w:r>
        <w:rPr>
          <w:rFonts w:hint="eastAsia" w:cs="Times New Roman"/>
          <w:spacing w:val="0"/>
        </w:rPr>
        <w:t>.</w:t>
      </w:r>
      <w:r>
        <w:rPr>
          <w:rFonts w:cs="Times New Roman"/>
          <w:spacing w:val="0"/>
        </w:rPr>
        <w:t>6</w:t>
      </w:r>
      <w:r>
        <w:rPr>
          <w:rFonts w:hint="eastAsia" w:cs="Times New Roman"/>
          <w:spacing w:val="0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8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  <w:spacing w:val="0"/>
        </w:rPr>
      </w:pPr>
      <w:r>
        <w:rPr>
          <w:rFonts w:hint="eastAsia" w:cs="Times New Roman"/>
          <w:spacing w:val="0"/>
        </w:rPr>
        <w:t>鉴于</w:t>
      </w:r>
      <w:r>
        <w:rPr>
          <w:rFonts w:cs="Times New Roman"/>
          <w:spacing w:val="0"/>
        </w:rPr>
        <w:t>2020</w:t>
      </w:r>
      <w:r>
        <w:rPr>
          <w:rFonts w:hint="eastAsia" w:cs="Times New Roman"/>
          <w:spacing w:val="0"/>
        </w:rPr>
        <w:t>年以来，柳州职业技术学院（官塘校区）等</w:t>
      </w:r>
      <w:r>
        <w:rPr>
          <w:rFonts w:cs="Times New Roman"/>
          <w:spacing w:val="0"/>
        </w:rPr>
        <w:t>24</w:t>
      </w:r>
      <w:r>
        <w:rPr>
          <w:rFonts w:hint="eastAsia" w:cs="Times New Roman"/>
          <w:spacing w:val="0"/>
        </w:rPr>
        <w:t>个校区，在节水型高校创建过程中所取得的成绩，经自治区水利厅研究决定，2</w:t>
      </w:r>
      <w:r>
        <w:rPr>
          <w:rFonts w:cs="Times New Roman"/>
          <w:spacing w:val="0"/>
        </w:rPr>
        <w:t>022</w:t>
      </w:r>
      <w:r>
        <w:rPr>
          <w:rFonts w:hint="eastAsia" w:cs="Times New Roman"/>
          <w:spacing w:val="0"/>
        </w:rPr>
        <w:t>年拟对该</w:t>
      </w:r>
      <w:r>
        <w:rPr>
          <w:rFonts w:cs="Times New Roman"/>
          <w:spacing w:val="0"/>
        </w:rPr>
        <w:t>24</w:t>
      </w:r>
      <w:r>
        <w:rPr>
          <w:rFonts w:hint="eastAsia" w:cs="Times New Roman"/>
          <w:spacing w:val="0"/>
        </w:rPr>
        <w:t>个校区实行“以奖代补”政策，助力巩固提升节水型高校建设质量、开创绿色学校创建行动。具体奖补金额及申报方式，自治区水利厅另行文件通知。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 w:cs="Times New Roman"/>
          <w:spacing w:val="0"/>
          <w:lang w:eastAsia="zh-CN"/>
        </w:rPr>
      </w:pPr>
      <w:r>
        <w:rPr>
          <w:rFonts w:cs="Times New Roman"/>
          <w:spacing w:val="0"/>
        </w:rPr>
        <w:t>有未尽事宜</w:t>
      </w:r>
      <w:r>
        <w:rPr>
          <w:rFonts w:hint="eastAsia" w:cs="Times New Roman"/>
          <w:spacing w:val="0"/>
        </w:rPr>
        <w:t>，</w:t>
      </w:r>
      <w:r>
        <w:rPr>
          <w:rFonts w:cs="Times New Roman"/>
          <w:spacing w:val="0"/>
        </w:rPr>
        <w:t>请联系：黄子千，0771-2185079</w:t>
      </w:r>
      <w:r>
        <w:rPr>
          <w:rFonts w:hint="eastAsia" w:cs="Times New Roman"/>
          <w:spacing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/>
        <w:jc w:val="both"/>
        <w:textAlignment w:val="auto"/>
        <w:rPr>
          <w:rFonts w:cs="Times New Roman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附件：1. </w:t>
      </w:r>
      <w:r>
        <w:rPr>
          <w:rFonts w:hint="eastAsia" w:cs="Times New Roman"/>
          <w:spacing w:val="0"/>
          <w:lang w:val="en-US" w:eastAsia="zh-CN"/>
        </w:rPr>
        <w:t xml:space="preserve"> </w:t>
      </w:r>
      <w:r>
        <w:rPr>
          <w:rFonts w:cs="Times New Roman"/>
          <w:spacing w:val="0"/>
        </w:rPr>
        <w:t>广西2021年第</w:t>
      </w:r>
      <w:r>
        <w:rPr>
          <w:rFonts w:hint="eastAsia" w:cs="Times New Roman"/>
          <w:spacing w:val="0"/>
        </w:rPr>
        <w:t>二</w:t>
      </w:r>
      <w:r>
        <w:rPr>
          <w:rFonts w:cs="Times New Roman"/>
          <w:spacing w:val="0"/>
        </w:rPr>
        <w:t>批节水型高校名单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eastAsia" w:cs="Times New Roman"/>
        </w:rPr>
        <w:t>应报未报材料的高校名单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cs="Times New Roman"/>
        </w:rPr>
        <w:t>节水型高校评审意见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720" w:firstLineChars="147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广西壮族自治区水利厅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056" w:firstLineChars="158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eastAsia="方正小标宋简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928" w:right="1474" w:bottom="1701" w:left="1531" w:header="851" w:footer="1191" w:gutter="0"/>
          <w:paperSrc/>
          <w:cols w:space="0" w:num="1"/>
          <w:docGrid w:linePitch="312" w:charSpace="0"/>
        </w:sectPr>
      </w:pPr>
    </w:p>
    <w:p>
      <w:pPr>
        <w:ind w:firstLine="0" w:firstLineChars="0"/>
        <w:jc w:val="left"/>
        <w:rPr>
          <w:rFonts w:eastAsia="黑体" w:cs="Times New Roman"/>
        </w:rPr>
      </w:pPr>
      <w:r>
        <w:rPr>
          <w:rFonts w:eastAsia="黑体" w:cs="Times New Roman"/>
        </w:rPr>
        <w:t>附件1</w:t>
      </w:r>
    </w:p>
    <w:p>
      <w:pPr>
        <w:spacing w:before="720" w:beforeLines="300" w:after="600" w:afterLines="250"/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广西2021年第</w:t>
      </w:r>
      <w:r>
        <w:rPr>
          <w:rFonts w:hint="eastAsia" w:eastAsia="方正小标宋简体" w:cs="Times New Roman"/>
          <w:sz w:val="44"/>
          <w:szCs w:val="44"/>
        </w:rPr>
        <w:t>二</w:t>
      </w:r>
      <w:r>
        <w:rPr>
          <w:rFonts w:eastAsia="方正小标宋简体" w:cs="Times New Roman"/>
          <w:sz w:val="44"/>
          <w:szCs w:val="44"/>
        </w:rPr>
        <w:t>批节水型高校名单</w:t>
      </w:r>
    </w:p>
    <w:tbl>
      <w:tblPr>
        <w:tblStyle w:val="11"/>
        <w:tblW w:w="91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 xml:space="preserve">  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柳州职业技术学院（官塘校区）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广西建设职业技术学院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广西工商职业技术学院（鹏飞校区）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广西工商职业技术学院（中尧校区）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广西科技大学（箭盘校区）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广西科技大学（柳石校区）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柳州工学院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柳州铁道职业技术学院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广西科技大学（东环校区）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广西科技大学（柳东校区）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广西经贸职业技术学院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广西开放大学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广西农业职业技术大学</w:t>
            </w:r>
          </w:p>
        </w:tc>
      </w:tr>
    </w:tbl>
    <w:p>
      <w:pPr>
        <w:widowControl/>
        <w:spacing w:line="460" w:lineRule="exact"/>
        <w:ind w:firstLine="0" w:firstLineChars="0"/>
        <w:jc w:val="left"/>
        <w:rPr>
          <w:rFonts w:eastAsia="楷体_GB2312" w:cs="Times New Roman"/>
          <w:sz w:val="28"/>
          <w:szCs w:val="28"/>
        </w:rPr>
      </w:pPr>
      <w:r>
        <w:rPr>
          <w:rFonts w:eastAsia="楷体_GB2312" w:cs="Times New Roman"/>
          <w:sz w:val="28"/>
          <w:szCs w:val="28"/>
        </w:rPr>
        <w:t>注：序号按评审分数进行排序</w:t>
      </w:r>
    </w:p>
    <w:p>
      <w:pPr>
        <w:widowControl/>
        <w:spacing w:line="460" w:lineRule="exact"/>
        <w:ind w:firstLine="0" w:firstLineChars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spacing w:line="240" w:lineRule="auto"/>
        <w:ind w:firstLine="0" w:firstLineChars="0"/>
        <w:jc w:val="left"/>
        <w:rPr>
          <w:rFonts w:eastAsia="黑体" w:cs="Times New Roman"/>
        </w:rPr>
      </w:pPr>
      <w:r>
        <w:rPr>
          <w:rFonts w:eastAsia="黑体" w:cs="Times New Roman"/>
        </w:rPr>
        <w:t>附件2</w:t>
      </w:r>
    </w:p>
    <w:p>
      <w:pPr>
        <w:spacing w:before="720" w:beforeLines="300" w:after="600" w:afterLines="250"/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应报未报材料</w:t>
      </w:r>
      <w:r>
        <w:rPr>
          <w:rFonts w:eastAsia="方正小标宋简体" w:cs="Times New Roman"/>
          <w:sz w:val="44"/>
          <w:szCs w:val="44"/>
        </w:rPr>
        <w:t>的高校名单</w:t>
      </w:r>
    </w:p>
    <w:tbl>
      <w:tblPr>
        <w:tblStyle w:val="11"/>
        <w:tblW w:w="88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6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黑体" w:cs="Times New Roman"/>
                <w:color w:val="000000"/>
                <w:kern w:val="0"/>
                <w:sz w:val="28"/>
                <w:szCs w:val="28"/>
              </w:rPr>
              <w:t>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南宁师范大学（明秀校区）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南宁师范大学（五合校区）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南宁师范大学（武鸣校区）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南宁师范大学（长岗校区）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广西民族师范学院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广西民族大学（思源湖校区）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广西财经学院（明秀校区）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广西财经学院（相思湖校区）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广西财经学院（防城港校区）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桂林旅游学院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广西警察学院（长湖校区）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广西警察学院（仙葫校区）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广西警察学院（五合校区）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北海艺术设计学院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广西大学行健文理学院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广西民族大学相思湖学院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南宁师范大学师园学院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广西中医药大学赛恩斯新医药学院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广西职业师范学院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桂林生命与健康职业技术学院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广西工业职业技术学院（贵港校区）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广西国际商务职业技术学院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广西电力职业技术学院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广西英华国际职业学院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柳州城市职业学院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广西理工职业技术学院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广西经济职业学院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广西科技职业学院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广西卫生职业技术学院（桃源校区）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广西金融职业技术学院（东校区）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广西金融职业技术学院（西校区）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广西自然资源职业技术学院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钦州幼儿师范高等专科学校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梧州医学高等专科学校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广西物流职业技术学院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崇左幼儿师范高等专科学校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桂林市职工大学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cs="Times New Roman"/>
          <w:color w:val="000000"/>
          <w:kern w:val="0"/>
          <w:szCs w:val="32"/>
        </w:rPr>
        <w:sectPr>
          <w:pgSz w:w="11906" w:h="16838"/>
          <w:pgMar w:top="1928" w:right="1474" w:bottom="1701" w:left="1531" w:header="851" w:footer="1191" w:gutter="0"/>
          <w:cols w:space="0" w:num="1"/>
          <w:docGrid w:linePitch="312" w:charSpace="0"/>
        </w:sectPr>
      </w:pPr>
      <w:r>
        <w:rPr>
          <w:rFonts w:eastAsia="黑体" w:cs="Times New Roman"/>
          <w:color w:val="000000"/>
          <w:kern w:val="0"/>
          <w:szCs w:val="32"/>
        </w:rPr>
        <w:br w:type="page"/>
      </w:r>
    </w:p>
    <w:p>
      <w:pPr>
        <w:spacing w:line="240" w:lineRule="auto"/>
        <w:ind w:firstLine="0" w:firstLineChars="0"/>
        <w:jc w:val="left"/>
        <w:rPr>
          <w:rFonts w:eastAsia="黑体" w:cs="Times New Roman"/>
        </w:rPr>
      </w:pPr>
      <w:r>
        <w:rPr>
          <w:rFonts w:eastAsia="黑体" w:cs="Times New Roma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7" w:beforeLines="15" w:after="110" w:afterLines="25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cs="Times New Roman"/>
          <w:color w:val="000000"/>
          <w:kern w:val="0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节水型高校评审意见</w:t>
      </w:r>
    </w:p>
    <w:tbl>
      <w:tblPr>
        <w:tblStyle w:val="11"/>
        <w:tblW w:w="150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655"/>
        <w:gridCol w:w="945"/>
        <w:gridCol w:w="94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tblHeader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分  数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柳州职业技术学院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（官塘校区）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节水教育，未见同年开展2次以上节水宣传活动的佐证材料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用水记录未见按功能区划分的逐月用水统计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无非常规水利用设施，建议增设雨水收集或灰水回用系统，配合宣传教育，丰富校园节水内涵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cs="Times New Roman"/>
                <w:color w:val="000000"/>
                <w:kern w:val="0"/>
                <w:sz w:val="28"/>
                <w:szCs w:val="28"/>
              </w:rPr>
              <w:t>特色创新加分：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节约型单位创建获国家机关事务管理局认可，+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分；合理利用高校科研优势，自主创新研发节水技术并取得专利，+2分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广西建设职业技术学院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未分功能区进行用水统计及分析计算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未见供水管网图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学校计量较多，建议引入节水监控平台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非常规用水利用设施单一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人均用水量指标与用水定额基本持平，建议进一步发掘校园节水潜力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广西科技大学（箭盘校区）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实质性内容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 非常规用水利用设施单一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广西科技大学（柳石校区）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节水宣传教育未纳入高校德育教育和考核指标，节水宣传形式单一，缺乏实质性内容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 非常规用水利用设施单一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广西工商职业技术学院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（鹏飞校区）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学校计量较多，建议引入节水监控平台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无非常规水利用设施，建议增设雨水收集或灰水回用系统，配合宣传教育，丰富校园节水内涵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广西工商职业技术学院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（中尧校区）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 学校计量较多，建议引入节水监控平台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 无非常规水利用设施，建议增设雨水收集或灰水回用系统，配合宣传教育，丰富校园节水内涵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柳州工学院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学校计量较多，建议引入节水监控平台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 无非常规水利用设施，建议增设雨水收集或灰水回用系统，配合宣传教育，丰富校园节水内涵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cs="Times New Roman"/>
                <w:color w:val="000000"/>
                <w:kern w:val="0"/>
                <w:sz w:val="28"/>
                <w:szCs w:val="28"/>
              </w:rPr>
              <w:t>特色创新加分：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积极参加广西“节水大使”评选活动并获得奖励，+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分；合理利用高校科研优势，自主创新研发节水技术并取得专利，+2分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柳州铁道职业技术学院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 未见将节水宣传教育未纳入高校德育教育和考核指标的证明材料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 学校计量较多，建议引入节水监控平台，智能化记录实时用水数据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 “用水设备”发现终端老旧、起泡器脱落、未使用节水器具等情况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4. 建议增加非常规水利用设施，配合节水宣传，不断拓展校园节水内涵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人均用水量指标与用水定额基本持平，建议进一步发掘校园节水潜力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特色创新加分：积极参加广西“节水大使”评选活动并获得奖励，参与“全国节约用水知识大赛”，+2分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广西科技大学（东环校区）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节水宣传教育未纳入高校德育教育和考核指标，节水宣传形式单一，缺乏实质性内容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 非常规用水利用设施单一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管网存在一定程度的漏损情况，建议加强维护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广西科技大学（柳东校区）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节水宣传教育未纳入高校德育教育和考核指标，节水宣传形式单一，缺乏实质性内容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 非常规用水利用设施单一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 管网存在一定程度的漏损情况，建议加强维护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广西经贸职业技术学院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未见将节水目标纳入学年工作目标考核和表彰奖励范围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节水宣传教育未纳入高校德育教育和考核指标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未将用水台账统计进行用水分析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学校计量较多，建议引入节水监控平台，智能化记录实时用水数据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未见学校管网维护及检测工作支撑材料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无非常规水利用设施，建议增设雨水收集或灰水回用系统，配合宣传教育，丰富校园节水内涵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特色创新加分：引入合同节水模式，+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广西开放大学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未实质性将节水宣传教育未纳入高校德育教育和考核指标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未见同年开展2次以上节水宣传活动的佐证材料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建议引入节水监控平台，智能化记录实时用水数据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无非常规水利用设施，建议增设雨水收集或灰水回用系统，配合宣传教育，丰富校园节水内涵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广西农业职业技术大学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 未实质性将节水宣传教育未纳入高校德育教育和考核指标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 未实质性组织校园节水主题活动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 近三年来未开展过水平衡测试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4. 非常规用水利用设施单一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梧州职业学院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1.未见节水宣传教育实质性纳入高校德育教育和考核指标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2.未见同年开展2次以上节水宣传活动的佐证材料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3.节水宣传及节水实践佐证材料不足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4.缺乏对用水数据的分析核算，且未分功能区进行统计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学校计量较多，建议引入节水监控平台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6. 非常规用水利用设施单一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右江民族医学院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未实质性将节水宣传教育未纳入高校德育教育和考核指标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未见同年开展2次以上节水宣传活动和节水实践的佐证材料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未见主要用水场所、设施、器具等有节水标识相关材料。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近三年来未开展过水平衡测试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部分用水器具老旧，未及时更换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 无非常规水利用设施，建议增设雨水收集或灰水回用系统，配合宣传教育，丰富校园节水内涵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桂林电子科技大学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（花江校区）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制度建设未见“目标考核”相关材料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未见材料中有关宣教计划与考核的内容，节水宣传形式单一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未见材料中有计量网络图、供排水管网图和用水设施分布图等资料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近三年来未开展过水平衡测试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非常规用水利用设施单一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在供水管网内仍取用地下水作为常规用水，满足“一票否决”指标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根据提供数据核算人均用水量162L/人·d，用水定额超标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.未见将节水宣传教育未纳入高校德育教育和考核指标等证明材料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近三年来未开展过水平衡测试，且未见管网漏损率相关数据及材料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非常规用水利用设施单一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3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桂林电子科技大学（金鸡岭校区）、广西中医药大学（明秀校区）、广西中医药大学（仙葫校区）、北部湾大学、广西培贤国际职业学院、桂林医学院、广西科技师范学院（来宾校区）、广西科技师范学院（柳州北校区）、广西城市职业大学、桂林理工大学博文管理学院、广西体育高等专科学校、广西工程职业学院、广西演艺职业学院、广西蓝天航空职业学院、广西幼儿师范高等专科学校（南宁校区）、广西幼儿师范高等专科学校（平果校区）、广西安全工程职业技术学院、桂林山水职业学院、百色职业学院、广西制造工程职业技术学院、贺州学院、柳州职业技术学院（社湾校区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＜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桂林电子科技大学（金鸡岭校区）等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个校区均未根据《节水型高校评价标准》进行逐一证明支撑，佐证材料严重不足。其中，百色职业学院用错创建标准，未采用《节水型高校评价标准》（T/CHES 32-2019）进行创建评分。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5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桂林理工大学（屏风校区）桂林理工大学（雁山校区）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河池学院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94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提交材料时间较晚，超截止日期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天，错过专家评审期。本年度不予评审，纳入2022年评审计划，特此说明。</w:t>
            </w:r>
          </w:p>
        </w:tc>
      </w:tr>
    </w:tbl>
    <w:p>
      <w:pPr>
        <w:widowControl/>
        <w:spacing w:line="440" w:lineRule="exact"/>
        <w:ind w:firstLine="0" w:firstLineChars="0"/>
        <w:rPr>
          <w:rFonts w:eastAsia="楷体_GB2312" w:cs="Times New Roman"/>
          <w:color w:val="000000"/>
          <w:kern w:val="0"/>
          <w:sz w:val="28"/>
          <w:szCs w:val="28"/>
        </w:rPr>
      </w:pPr>
      <w:r>
        <w:rPr>
          <w:rFonts w:eastAsia="楷体_GB2312" w:cs="Times New Roman"/>
          <w:color w:val="000000"/>
          <w:kern w:val="0"/>
          <w:sz w:val="28"/>
          <w:szCs w:val="28"/>
        </w:rPr>
        <w:t>注：根据《节水型高校评价标准》（T/CHES 32-2019），节水型高校满分为110分，评分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≥</w:t>
      </w:r>
      <w:r>
        <w:rPr>
          <w:rFonts w:eastAsia="楷体_GB2312" w:cs="Times New Roman"/>
          <w:color w:val="000000"/>
          <w:kern w:val="0"/>
          <w:sz w:val="28"/>
          <w:szCs w:val="28"/>
        </w:rPr>
        <w:t>90分的为合格。为保证通过质量、提高工作效率，专家组对各高校申报材料进行了初审</w:t>
      </w:r>
      <w:r>
        <w:rPr>
          <w:rFonts w:hint="eastAsia" w:eastAsia="楷体_GB2312" w:cs="Times New Roman"/>
          <w:color w:val="000000"/>
          <w:kern w:val="0"/>
          <w:sz w:val="28"/>
          <w:szCs w:val="28"/>
        </w:rPr>
        <w:t>，并结合自治区节约用水监督检查对应报材料的河池学院、广西科技师范学院（柳州北校区）等1</w:t>
      </w:r>
      <w:r>
        <w:rPr>
          <w:rFonts w:eastAsia="楷体_GB2312" w:cs="Times New Roman"/>
          <w:color w:val="000000"/>
          <w:kern w:val="0"/>
          <w:sz w:val="28"/>
          <w:szCs w:val="28"/>
        </w:rPr>
        <w:t>3</w:t>
      </w:r>
      <w:r>
        <w:rPr>
          <w:rFonts w:hint="eastAsia" w:eastAsia="楷体_GB2312" w:cs="Times New Roman"/>
          <w:color w:val="000000"/>
          <w:kern w:val="0"/>
          <w:sz w:val="28"/>
          <w:szCs w:val="28"/>
        </w:rPr>
        <w:t>个校区进行了现场指导，指导率</w:t>
      </w:r>
      <w:r>
        <w:rPr>
          <w:rFonts w:eastAsia="楷体_GB2312" w:cs="Times New Roman"/>
          <w:color w:val="000000"/>
          <w:kern w:val="0"/>
          <w:sz w:val="28"/>
          <w:szCs w:val="28"/>
        </w:rPr>
        <w:t>15</w:t>
      </w:r>
      <w:r>
        <w:rPr>
          <w:rFonts w:hint="eastAsia" w:eastAsia="楷体_GB2312" w:cs="Times New Roman"/>
          <w:color w:val="000000"/>
          <w:kern w:val="0"/>
          <w:sz w:val="28"/>
          <w:szCs w:val="28"/>
        </w:rPr>
        <w:t>.</w:t>
      </w:r>
      <w:r>
        <w:rPr>
          <w:rFonts w:eastAsia="楷体_GB2312" w:cs="Times New Roman"/>
          <w:color w:val="000000"/>
          <w:kern w:val="0"/>
          <w:sz w:val="28"/>
          <w:szCs w:val="28"/>
        </w:rPr>
        <w:t>5</w:t>
      </w:r>
      <w:r>
        <w:rPr>
          <w:rFonts w:hint="eastAsia" w:eastAsia="楷体_GB2312" w:cs="Times New Roman"/>
          <w:color w:val="000000"/>
          <w:kern w:val="0"/>
          <w:sz w:val="28"/>
          <w:szCs w:val="28"/>
        </w:rPr>
        <w:t>%</w:t>
      </w:r>
    </w:p>
    <w:p>
      <w:pPr>
        <w:widowControl/>
        <w:spacing w:line="440" w:lineRule="exact"/>
        <w:ind w:left="920" w:leftChars="200" w:hanging="280" w:hangingChars="100"/>
        <w:jc w:val="left"/>
        <w:rPr>
          <w:rFonts w:eastAsia="楷体_GB2312" w:cs="Times New Roman"/>
          <w:color w:val="000000"/>
          <w:kern w:val="0"/>
          <w:sz w:val="28"/>
          <w:szCs w:val="28"/>
        </w:rPr>
        <w:sectPr>
          <w:footerReference r:id="rId7" w:type="first"/>
          <w:footerReference r:id="rId5" w:type="default"/>
          <w:footerReference r:id="rId6" w:type="even"/>
          <w:pgSz w:w="16838" w:h="11906" w:orient="landscape"/>
          <w:pgMar w:top="1134" w:right="1020" w:bottom="1020" w:left="1020" w:header="851" w:footer="567" w:gutter="0"/>
          <w:cols w:space="0" w:num="1"/>
          <w:rtlGutter w:val="0"/>
          <w:docGrid w:linePitch="435" w:charSpace="0"/>
        </w:sect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600" w:lineRule="exact"/>
        <w:rPr>
          <w:rFonts w:hint="eastAsia" w:eastAsia="方正小标宋简体"/>
          <w:sz w:val="30"/>
          <w:szCs w:val="30"/>
        </w:rPr>
      </w:pPr>
    </w:p>
    <w:p>
      <w:pPr>
        <w:spacing w:line="600" w:lineRule="exact"/>
        <w:rPr>
          <w:rFonts w:hint="eastAsia" w:eastAsia="仿宋_GB2312"/>
          <w:sz w:val="28"/>
          <w:szCs w:val="28"/>
        </w:rPr>
      </w:pPr>
    </w:p>
    <w:p>
      <w:pPr>
        <w:spacing w:line="640" w:lineRule="exact"/>
        <w:ind w:firstLine="280" w:firstLineChars="100"/>
        <w:rPr>
          <w:rFonts w:hint="default"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737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5pt;height:0pt;width:446.75pt;z-index:251662336;mso-width-relative:page;mso-height-relative:page;" filled="f" stroked="t" coordsize="21600,21600" o:gfxdata="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zdsUbUAAAABAEAAA8AAAAA&#10;AAAAAQAgAAAAIgAAAGRycy9kb3ducmV2LnhtbFBLAQIUABQAAAAIAIdO4kAlCeVX3wEAAKUDAAAO&#10;AAAAAAAAAAEAIAAAACM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抄送：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自治区教育厅，自治区住房城乡建设厅，自治区机关事务管理局。</w:t>
      </w:r>
    </w:p>
    <w:p>
      <w:pPr>
        <w:spacing w:line="640" w:lineRule="exact"/>
        <w:ind w:firstLine="280" w:firstLineChars="100"/>
        <w:rPr>
          <w:rFonts w:hint="eastAsia" w:ascii="宋体" w:hAnsi="宋体" w:eastAsia="宋体" w:cs="宋体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455930</wp:posOffset>
                </wp:positionV>
                <wp:extent cx="56737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5.9pt;height:0pt;width:446.75pt;z-index:251661312;mso-width-relative:page;mso-height-relative:page;" filled="f" stroked="t" coordsize="21600,21600" o:gfxdata="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+IQz9cAAAAIAQAADwAA&#10;AAAAAAABACAAAAAiAAAAZHJzL2Rvd25yZXYueG1sUEsBAhQAFAAAAAgAh07iQIfN5VzeAQAApQMA&#10;AA4AAAAAAAAAAQAgAAAAJg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66040</wp:posOffset>
                </wp:positionV>
                <wp:extent cx="5673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5.2pt;height:0pt;width:446.75pt;z-index:251660288;mso-width-relative:page;mso-height-relative:page;" filled="f" stroked="t" coordsize="21600,21600" o:gfxdata="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JQll3TAAAABwEAAA8AAAAA&#10;AAAAAQAgAAAAIgAAAGRycy9kb3ducmV2LnhtbFBLAQIUABQAAAAIAIdO4kCxApJr4AEAAKQ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广西壮族自治区水利厅办公室</w:t>
      </w:r>
      <w:r>
        <w:rPr>
          <w:rFonts w:hint="eastAsia" w:ascii="宋体" w:hAnsi="宋体" w:eastAsia="宋体" w:cs="宋体"/>
          <w:spacing w:val="4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pacing w:val="4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4"/>
          <w:sz w:val="28"/>
          <w:szCs w:val="28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sectPr>
      <w:footerReference r:id="rId8" w:type="default"/>
      <w:footerReference r:id="rId9" w:type="even"/>
      <w:pgSz w:w="11906" w:h="16838"/>
      <w:pgMar w:top="1928" w:right="1474" w:bottom="1701" w:left="1531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363" w:rightChars="0" w:firstLine="560" w:firstLineChars="200"/>
      <w:jc w:val="right"/>
      <w:textAlignment w:val="auto"/>
      <w:outlineLvl w:val="9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kern w:val="0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kern w:val="0"/>
        <w:sz w:val="28"/>
        <w:szCs w:val="28"/>
      </w:rPr>
      <w:fldChar w:fldCharType="begin"/>
    </w:r>
    <w:r>
      <w:rPr>
        <w:rFonts w:hint="default" w:ascii="Times New Roman" w:hAnsi="Times New Roman" w:eastAsia="宋体" w:cs="Times New Roman"/>
        <w:kern w:val="0"/>
        <w:sz w:val="28"/>
        <w:szCs w:val="28"/>
      </w:rPr>
      <w:instrText xml:space="preserve"> PAGE </w:instrText>
    </w:r>
    <w:r>
      <w:rPr>
        <w:rFonts w:hint="default" w:ascii="Times New Roman" w:hAnsi="Times New Roman" w:eastAsia="宋体" w:cs="Times New Roman"/>
        <w:kern w:val="0"/>
        <w:sz w:val="28"/>
        <w:szCs w:val="28"/>
      </w:rPr>
      <w:fldChar w:fldCharType="separate"/>
    </w:r>
    <w:r>
      <w:rPr>
        <w:rFonts w:hint="default" w:ascii="Times New Roman" w:hAnsi="Times New Roman" w:eastAsia="宋体" w:cs="Times New Roman"/>
        <w:kern w:val="0"/>
        <w:sz w:val="28"/>
        <w:szCs w:val="28"/>
      </w:rPr>
      <w:t>1</w:t>
    </w:r>
    <w:r>
      <w:rPr>
        <w:rFonts w:hint="default" w:ascii="Times New Roman" w:hAnsi="Times New Roman" w:eastAsia="宋体" w:cs="Times New Roman"/>
        <w:kern w:val="0"/>
        <w:sz w:val="28"/>
        <w:szCs w:val="28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363" w:rightChars="0" w:firstLine="173" w:firstLineChars="62"/>
      <w:jc w:val="left"/>
      <w:textAlignment w:val="auto"/>
      <w:outlineLvl w:val="9"/>
      <w:rPr>
        <w:rFonts w:hint="eastAsia"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kern w:val="0"/>
        <w:sz w:val="28"/>
        <w:szCs w:val="28"/>
      </w:rPr>
      <w:t xml:space="preserve">— </w:t>
    </w:r>
    <w:r>
      <w:rPr>
        <w:rFonts w:hint="default" w:ascii="Times New Roman" w:hAnsi="Times New Roman" w:eastAsia="黑体" w:cs="Times New Roman"/>
        <w:kern w:val="0"/>
        <w:sz w:val="28"/>
        <w:szCs w:val="28"/>
      </w:rPr>
      <w:fldChar w:fldCharType="begin"/>
    </w:r>
    <w:r>
      <w:rPr>
        <w:rFonts w:hint="default" w:ascii="Times New Roman" w:hAnsi="Times New Roman" w:eastAsia="黑体" w:cs="Times New Roman"/>
        <w:kern w:val="0"/>
        <w:sz w:val="28"/>
        <w:szCs w:val="28"/>
      </w:rPr>
      <w:instrText xml:space="preserve"> PAGE </w:instrText>
    </w:r>
    <w:r>
      <w:rPr>
        <w:rFonts w:hint="default" w:ascii="Times New Roman" w:hAnsi="Times New Roman" w:eastAsia="黑体" w:cs="Times New Roman"/>
        <w:kern w:val="0"/>
        <w:sz w:val="28"/>
        <w:szCs w:val="28"/>
      </w:rPr>
      <w:fldChar w:fldCharType="separate"/>
    </w:r>
    <w:r>
      <w:rPr>
        <w:rFonts w:hint="default" w:ascii="Times New Roman" w:hAnsi="Times New Roman" w:eastAsia="黑体" w:cs="Times New Roman"/>
        <w:kern w:val="0"/>
        <w:sz w:val="28"/>
        <w:szCs w:val="28"/>
      </w:rPr>
      <w:t>2</w:t>
    </w:r>
    <w:r>
      <w:rPr>
        <w:rFonts w:hint="default" w:ascii="Times New Roman" w:hAnsi="Times New Roman" w:eastAsia="黑体" w:cs="Times New Roman"/>
        <w:kern w:val="0"/>
        <w:sz w:val="28"/>
        <w:szCs w:val="28"/>
      </w:rPr>
      <w:fldChar w:fldCharType="end"/>
    </w:r>
    <w:r>
      <w:rPr>
        <w:rFonts w:hint="eastAsia" w:ascii="黑体" w:hAnsi="黑体" w:eastAsia="黑体" w:cs="黑体"/>
        <w:kern w:val="0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560"/>
      <w:jc w:val="center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  <w:kern w:val="0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kern w:val="0"/>
        <w:sz w:val="28"/>
        <w:szCs w:val="28"/>
      </w:rPr>
      <w:fldChar w:fldCharType="begin"/>
    </w:r>
    <w:r>
      <w:rPr>
        <w:rFonts w:hint="default" w:ascii="Times New Roman" w:hAnsi="Times New Roman" w:eastAsia="宋体" w:cs="Times New Roman"/>
        <w:kern w:val="0"/>
        <w:sz w:val="28"/>
        <w:szCs w:val="28"/>
      </w:rPr>
      <w:instrText xml:space="preserve"> PAGE </w:instrText>
    </w:r>
    <w:r>
      <w:rPr>
        <w:rFonts w:hint="default" w:ascii="Times New Roman" w:hAnsi="Times New Roman" w:eastAsia="宋体" w:cs="Times New Roman"/>
        <w:kern w:val="0"/>
        <w:sz w:val="28"/>
        <w:szCs w:val="28"/>
      </w:rPr>
      <w:fldChar w:fldCharType="separate"/>
    </w:r>
    <w:r>
      <w:rPr>
        <w:rFonts w:hint="default" w:ascii="Times New Roman" w:hAnsi="Times New Roman" w:eastAsia="宋体" w:cs="Times New Roman"/>
        <w:kern w:val="0"/>
        <w:sz w:val="28"/>
        <w:szCs w:val="28"/>
      </w:rPr>
      <w:t>15</w:t>
    </w:r>
    <w:r>
      <w:rPr>
        <w:rFonts w:hint="default" w:ascii="Times New Roman" w:hAnsi="Times New Roman" w:eastAsia="宋体" w:cs="Times New Roman"/>
        <w:kern w:val="0"/>
        <w:sz w:val="28"/>
        <w:szCs w:val="28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560"/>
      <w:jc w:val="center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  <w:kern w:val="0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kern w:val="0"/>
        <w:sz w:val="28"/>
        <w:szCs w:val="28"/>
      </w:rPr>
      <w:fldChar w:fldCharType="begin"/>
    </w:r>
    <w:r>
      <w:rPr>
        <w:rFonts w:hint="default" w:ascii="Times New Roman" w:hAnsi="Times New Roman" w:eastAsia="宋体" w:cs="Times New Roman"/>
        <w:kern w:val="0"/>
        <w:sz w:val="28"/>
        <w:szCs w:val="28"/>
      </w:rPr>
      <w:instrText xml:space="preserve"> PAGE </w:instrText>
    </w:r>
    <w:r>
      <w:rPr>
        <w:rFonts w:hint="default" w:ascii="Times New Roman" w:hAnsi="Times New Roman" w:eastAsia="宋体" w:cs="Times New Roman"/>
        <w:kern w:val="0"/>
        <w:sz w:val="28"/>
        <w:szCs w:val="28"/>
      </w:rPr>
      <w:fldChar w:fldCharType="separate"/>
    </w:r>
    <w:r>
      <w:rPr>
        <w:rFonts w:hint="default" w:ascii="Times New Roman" w:hAnsi="Times New Roman" w:eastAsia="宋体" w:cs="Times New Roman"/>
        <w:kern w:val="0"/>
        <w:sz w:val="28"/>
        <w:szCs w:val="28"/>
      </w:rPr>
      <w:t>14</w:t>
    </w:r>
    <w:r>
      <w:rPr>
        <w:rFonts w:hint="default" w:ascii="Times New Roman" w:hAnsi="Times New Roman" w:eastAsia="宋体" w:cs="Times New Roman"/>
        <w:kern w:val="0"/>
        <w:sz w:val="28"/>
        <w:szCs w:val="28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560"/>
      <w:jc w:val="center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9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156"/>
  <w:displayHorizontalDrawingGridEvery w:val="1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98"/>
    <w:rsid w:val="00027310"/>
    <w:rsid w:val="00027ED5"/>
    <w:rsid w:val="00033550"/>
    <w:rsid w:val="000421E4"/>
    <w:rsid w:val="0004649F"/>
    <w:rsid w:val="00047AC9"/>
    <w:rsid w:val="00073DF2"/>
    <w:rsid w:val="00085267"/>
    <w:rsid w:val="00087F6D"/>
    <w:rsid w:val="000A06C9"/>
    <w:rsid w:val="000B139C"/>
    <w:rsid w:val="000C51DA"/>
    <w:rsid w:val="000D6CFD"/>
    <w:rsid w:val="000E2974"/>
    <w:rsid w:val="000F2EB1"/>
    <w:rsid w:val="00110460"/>
    <w:rsid w:val="00112DF9"/>
    <w:rsid w:val="00115858"/>
    <w:rsid w:val="00141B1B"/>
    <w:rsid w:val="001442EF"/>
    <w:rsid w:val="00155824"/>
    <w:rsid w:val="00160B78"/>
    <w:rsid w:val="00174298"/>
    <w:rsid w:val="001814A3"/>
    <w:rsid w:val="001926FC"/>
    <w:rsid w:val="00193FC5"/>
    <w:rsid w:val="0019467C"/>
    <w:rsid w:val="001C7520"/>
    <w:rsid w:val="001D0D98"/>
    <w:rsid w:val="001D1C1B"/>
    <w:rsid w:val="001D429A"/>
    <w:rsid w:val="001E22C9"/>
    <w:rsid w:val="001E2E8B"/>
    <w:rsid w:val="001F20EF"/>
    <w:rsid w:val="001F7B6A"/>
    <w:rsid w:val="00201ED9"/>
    <w:rsid w:val="0020347E"/>
    <w:rsid w:val="00205059"/>
    <w:rsid w:val="0020649E"/>
    <w:rsid w:val="00213E54"/>
    <w:rsid w:val="00232310"/>
    <w:rsid w:val="002470E5"/>
    <w:rsid w:val="00256D0C"/>
    <w:rsid w:val="0026007D"/>
    <w:rsid w:val="0026054E"/>
    <w:rsid w:val="00276CB4"/>
    <w:rsid w:val="00277543"/>
    <w:rsid w:val="00297798"/>
    <w:rsid w:val="002A1EA5"/>
    <w:rsid w:val="002A3833"/>
    <w:rsid w:val="002C1A91"/>
    <w:rsid w:val="002C4B2F"/>
    <w:rsid w:val="002D394A"/>
    <w:rsid w:val="002E2D8E"/>
    <w:rsid w:val="002E3D72"/>
    <w:rsid w:val="002E7860"/>
    <w:rsid w:val="002F2A2B"/>
    <w:rsid w:val="00300C5E"/>
    <w:rsid w:val="00303EB4"/>
    <w:rsid w:val="00321BC9"/>
    <w:rsid w:val="00324351"/>
    <w:rsid w:val="00326246"/>
    <w:rsid w:val="00326C98"/>
    <w:rsid w:val="003437DA"/>
    <w:rsid w:val="00353A9E"/>
    <w:rsid w:val="00357E29"/>
    <w:rsid w:val="003716BF"/>
    <w:rsid w:val="00373151"/>
    <w:rsid w:val="003747AA"/>
    <w:rsid w:val="003770E2"/>
    <w:rsid w:val="00381976"/>
    <w:rsid w:val="0038290C"/>
    <w:rsid w:val="003845BB"/>
    <w:rsid w:val="00395CB2"/>
    <w:rsid w:val="003966DA"/>
    <w:rsid w:val="003A16A2"/>
    <w:rsid w:val="003B5BA0"/>
    <w:rsid w:val="003B6C33"/>
    <w:rsid w:val="003F3652"/>
    <w:rsid w:val="0041681F"/>
    <w:rsid w:val="004365F1"/>
    <w:rsid w:val="00447C0B"/>
    <w:rsid w:val="00476D45"/>
    <w:rsid w:val="004862A1"/>
    <w:rsid w:val="00495A55"/>
    <w:rsid w:val="004B4B54"/>
    <w:rsid w:val="004D2310"/>
    <w:rsid w:val="00503C27"/>
    <w:rsid w:val="00504614"/>
    <w:rsid w:val="00504FB6"/>
    <w:rsid w:val="00506AB4"/>
    <w:rsid w:val="0052087C"/>
    <w:rsid w:val="0053634F"/>
    <w:rsid w:val="005637CC"/>
    <w:rsid w:val="00563B9D"/>
    <w:rsid w:val="00567185"/>
    <w:rsid w:val="00570FDA"/>
    <w:rsid w:val="005763A2"/>
    <w:rsid w:val="00580F8A"/>
    <w:rsid w:val="005A079A"/>
    <w:rsid w:val="005A155E"/>
    <w:rsid w:val="005B1F39"/>
    <w:rsid w:val="005C198C"/>
    <w:rsid w:val="005C5343"/>
    <w:rsid w:val="005E681C"/>
    <w:rsid w:val="005F7F37"/>
    <w:rsid w:val="00610E19"/>
    <w:rsid w:val="00614B59"/>
    <w:rsid w:val="00623398"/>
    <w:rsid w:val="00631B8C"/>
    <w:rsid w:val="00634E43"/>
    <w:rsid w:val="00643FED"/>
    <w:rsid w:val="00683EB5"/>
    <w:rsid w:val="00686969"/>
    <w:rsid w:val="00692A8E"/>
    <w:rsid w:val="006A63B9"/>
    <w:rsid w:val="006A7485"/>
    <w:rsid w:val="006B4C9D"/>
    <w:rsid w:val="006B54D1"/>
    <w:rsid w:val="006B6495"/>
    <w:rsid w:val="006B751D"/>
    <w:rsid w:val="006C0BEB"/>
    <w:rsid w:val="006C260C"/>
    <w:rsid w:val="006E313A"/>
    <w:rsid w:val="006F25B4"/>
    <w:rsid w:val="00701536"/>
    <w:rsid w:val="00705A1C"/>
    <w:rsid w:val="007121C0"/>
    <w:rsid w:val="00716CA4"/>
    <w:rsid w:val="007372C1"/>
    <w:rsid w:val="007876D2"/>
    <w:rsid w:val="00790838"/>
    <w:rsid w:val="0079543C"/>
    <w:rsid w:val="007B568C"/>
    <w:rsid w:val="007D0B9A"/>
    <w:rsid w:val="00837B21"/>
    <w:rsid w:val="008439D3"/>
    <w:rsid w:val="00853178"/>
    <w:rsid w:val="008547F0"/>
    <w:rsid w:val="00861E1F"/>
    <w:rsid w:val="00866C99"/>
    <w:rsid w:val="008670C5"/>
    <w:rsid w:val="008873E2"/>
    <w:rsid w:val="00890D7D"/>
    <w:rsid w:val="0089746C"/>
    <w:rsid w:val="008A1EE9"/>
    <w:rsid w:val="008A589C"/>
    <w:rsid w:val="008B3CDF"/>
    <w:rsid w:val="008B4AD6"/>
    <w:rsid w:val="008C37D6"/>
    <w:rsid w:val="008D4B7C"/>
    <w:rsid w:val="008D5788"/>
    <w:rsid w:val="008F5C7A"/>
    <w:rsid w:val="008F5EDF"/>
    <w:rsid w:val="008F785E"/>
    <w:rsid w:val="00903E7E"/>
    <w:rsid w:val="0090589A"/>
    <w:rsid w:val="00907CD3"/>
    <w:rsid w:val="00924E51"/>
    <w:rsid w:val="00934A42"/>
    <w:rsid w:val="00937B82"/>
    <w:rsid w:val="0097365B"/>
    <w:rsid w:val="009A7625"/>
    <w:rsid w:val="009C5AA8"/>
    <w:rsid w:val="009D5497"/>
    <w:rsid w:val="009E1ADA"/>
    <w:rsid w:val="009F29CA"/>
    <w:rsid w:val="00A04ED5"/>
    <w:rsid w:val="00A16065"/>
    <w:rsid w:val="00A213E6"/>
    <w:rsid w:val="00A22E46"/>
    <w:rsid w:val="00A235BD"/>
    <w:rsid w:val="00A339C4"/>
    <w:rsid w:val="00A36D57"/>
    <w:rsid w:val="00A55ACE"/>
    <w:rsid w:val="00A64995"/>
    <w:rsid w:val="00A725E3"/>
    <w:rsid w:val="00A743FF"/>
    <w:rsid w:val="00A8430D"/>
    <w:rsid w:val="00A956D4"/>
    <w:rsid w:val="00A97AA0"/>
    <w:rsid w:val="00AB0061"/>
    <w:rsid w:val="00AB007D"/>
    <w:rsid w:val="00AB30CE"/>
    <w:rsid w:val="00AB60A2"/>
    <w:rsid w:val="00AC10A8"/>
    <w:rsid w:val="00AD44CE"/>
    <w:rsid w:val="00AE0EFF"/>
    <w:rsid w:val="00AE3C69"/>
    <w:rsid w:val="00AE48E7"/>
    <w:rsid w:val="00B21E78"/>
    <w:rsid w:val="00B34C6D"/>
    <w:rsid w:val="00B554A9"/>
    <w:rsid w:val="00B57784"/>
    <w:rsid w:val="00B63183"/>
    <w:rsid w:val="00B75372"/>
    <w:rsid w:val="00B81196"/>
    <w:rsid w:val="00B96BFF"/>
    <w:rsid w:val="00BA6EEB"/>
    <w:rsid w:val="00BB118F"/>
    <w:rsid w:val="00BB6356"/>
    <w:rsid w:val="00BB7F21"/>
    <w:rsid w:val="00BE00AC"/>
    <w:rsid w:val="00BF454F"/>
    <w:rsid w:val="00C13CC7"/>
    <w:rsid w:val="00C15BE6"/>
    <w:rsid w:val="00C61C08"/>
    <w:rsid w:val="00C63761"/>
    <w:rsid w:val="00C6485B"/>
    <w:rsid w:val="00C677D0"/>
    <w:rsid w:val="00C730DC"/>
    <w:rsid w:val="00CB7F5D"/>
    <w:rsid w:val="00CC1307"/>
    <w:rsid w:val="00CE0CE9"/>
    <w:rsid w:val="00CF2942"/>
    <w:rsid w:val="00D045E7"/>
    <w:rsid w:val="00D05ADF"/>
    <w:rsid w:val="00D31884"/>
    <w:rsid w:val="00D419F2"/>
    <w:rsid w:val="00D45DF6"/>
    <w:rsid w:val="00D54275"/>
    <w:rsid w:val="00D766F8"/>
    <w:rsid w:val="00DC783D"/>
    <w:rsid w:val="00DF0C5D"/>
    <w:rsid w:val="00DF3D07"/>
    <w:rsid w:val="00E11385"/>
    <w:rsid w:val="00E204A0"/>
    <w:rsid w:val="00E20994"/>
    <w:rsid w:val="00E3019C"/>
    <w:rsid w:val="00E33E08"/>
    <w:rsid w:val="00E340E2"/>
    <w:rsid w:val="00E41B82"/>
    <w:rsid w:val="00E42840"/>
    <w:rsid w:val="00E54BCB"/>
    <w:rsid w:val="00E564EE"/>
    <w:rsid w:val="00E57630"/>
    <w:rsid w:val="00E6486B"/>
    <w:rsid w:val="00E76899"/>
    <w:rsid w:val="00E80E9B"/>
    <w:rsid w:val="00E95528"/>
    <w:rsid w:val="00EA2DA1"/>
    <w:rsid w:val="00EA45C2"/>
    <w:rsid w:val="00EA7242"/>
    <w:rsid w:val="00EB7847"/>
    <w:rsid w:val="00EC20CD"/>
    <w:rsid w:val="00EC2F5D"/>
    <w:rsid w:val="00EF6BF0"/>
    <w:rsid w:val="00EF72D6"/>
    <w:rsid w:val="00F00DC3"/>
    <w:rsid w:val="00F140EB"/>
    <w:rsid w:val="00F21823"/>
    <w:rsid w:val="00F26D04"/>
    <w:rsid w:val="00F30DED"/>
    <w:rsid w:val="00F36FBA"/>
    <w:rsid w:val="00F545E2"/>
    <w:rsid w:val="00F6068D"/>
    <w:rsid w:val="00F62336"/>
    <w:rsid w:val="00F624CD"/>
    <w:rsid w:val="00F80295"/>
    <w:rsid w:val="00F842DA"/>
    <w:rsid w:val="00FA321F"/>
    <w:rsid w:val="00FB3155"/>
    <w:rsid w:val="00FD1F15"/>
    <w:rsid w:val="00FE06BB"/>
    <w:rsid w:val="00FE3DEA"/>
    <w:rsid w:val="00FE455C"/>
    <w:rsid w:val="00FF231E"/>
    <w:rsid w:val="00FF5FD0"/>
    <w:rsid w:val="0D2B4C17"/>
    <w:rsid w:val="13781E5B"/>
    <w:rsid w:val="15BC20DF"/>
    <w:rsid w:val="1C5E6CDD"/>
    <w:rsid w:val="1E741A80"/>
    <w:rsid w:val="24EF6E3D"/>
    <w:rsid w:val="27BF077B"/>
    <w:rsid w:val="29421A0B"/>
    <w:rsid w:val="2BC643BC"/>
    <w:rsid w:val="35D87BFB"/>
    <w:rsid w:val="361F5004"/>
    <w:rsid w:val="3E5E3CC8"/>
    <w:rsid w:val="49F53B39"/>
    <w:rsid w:val="53B10A6E"/>
    <w:rsid w:val="5DBC5110"/>
    <w:rsid w:val="63BA1C6C"/>
    <w:rsid w:val="6564039E"/>
    <w:rsid w:val="690D16E8"/>
    <w:rsid w:val="6E820D9D"/>
    <w:rsid w:val="70487366"/>
    <w:rsid w:val="72E571A9"/>
    <w:rsid w:val="799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仿宋" w:hAnsi="仿宋" w:eastAsia="仿宋" w:cs="仿宋"/>
      <w:sz w:val="24"/>
      <w:szCs w:val="24"/>
      <w:lang w:val="zh-CN" w:bidi="zh-CN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Body Text First Indent 2"/>
    <w:basedOn w:val="4"/>
    <w:unhideWhenUsed/>
    <w:uiPriority w:val="99"/>
    <w:pPr>
      <w:ind w:firstLine="420" w:firstLineChars="200"/>
    </w:p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8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9"/>
    <w:link w:val="5"/>
    <w:semiHidden/>
    <w:qFormat/>
    <w:uiPriority w:val="99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755</Words>
  <Characters>4304</Characters>
  <Lines>35</Lines>
  <Paragraphs>10</Paragraphs>
  <TotalTime>5</TotalTime>
  <ScaleCrop>false</ScaleCrop>
  <LinksUpToDate>false</LinksUpToDate>
  <CharactersWithSpaces>5049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2021-10-20T02:40:00Z</dcterms:created>
  <dc:creator>Ziqian</dc:creator>
  <cp:lastModifiedBy>文印室</cp:lastModifiedBy>
  <cp:lastPrinted>2021-12-13T09:00:14Z</cp:lastPrinted>
  <dcterms:modified xsi:type="dcterms:W3CDTF">2021-12-13T09:01:36Z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