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left"/>
        <w:textAlignment w:val="auto"/>
        <w:rPr>
          <w:rFonts w:hint="eastAsia" w:ascii="Times New Roman" w:hAnsi="Times New Roman" w:eastAsia="黑体" w:cs="黑体"/>
          <w:b w:val="0"/>
          <w:bCs w:val="0"/>
          <w:i w:val="0"/>
          <w:iCs w:val="0"/>
          <w:caps w:val="0"/>
          <w:spacing w:val="0"/>
          <w:sz w:val="32"/>
          <w:szCs w:val="20"/>
          <w:highlight w:val="none"/>
          <w:shd w:val="clear" w:color="auto" w:fill="auto"/>
          <w:lang w:val="en-US" w:eastAsia="zh-CN" w:bidi="ar-SA"/>
        </w:rPr>
      </w:pPr>
      <w:r>
        <w:rPr>
          <w:rFonts w:hint="eastAsia" w:ascii="Times New Roman" w:hAnsi="Times New Roman" w:eastAsia="黑体" w:cs="黑体"/>
          <w:b w:val="0"/>
          <w:bCs w:val="0"/>
          <w:i w:val="0"/>
          <w:iCs w:val="0"/>
          <w:caps w:val="0"/>
          <w:color w:val="060607"/>
          <w:spacing w:val="0"/>
          <w:sz w:val="32"/>
          <w:szCs w:val="20"/>
          <w:highlight w:val="none"/>
          <w:shd w:val="clear" w:color="auto" w:fill="auto"/>
          <w:lang w:val="en-US" w:eastAsia="zh-CN" w:bidi="ar-SA"/>
        </w:rPr>
        <w:t>附件</w:t>
      </w:r>
      <w:r>
        <w:rPr>
          <w:rFonts w:hint="eastAsia" w:ascii="Times New Roman" w:hAnsi="Times New Roman" w:eastAsia="黑体" w:cs="黑体"/>
          <w:b w:val="0"/>
          <w:bCs w:val="0"/>
          <w:i w:val="0"/>
          <w:iCs w:val="0"/>
          <w:caps w:val="0"/>
          <w:spacing w:val="0"/>
          <w:sz w:val="32"/>
          <w:szCs w:val="20"/>
          <w:highlight w:val="none"/>
          <w:shd w:val="clear" w:color="auto" w:fill="auto"/>
          <w:lang w:val="en-US" w:eastAsia="zh-CN" w:bidi="ar-SA"/>
        </w:rPr>
        <w:t>1</w:t>
      </w:r>
    </w:p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left"/>
        <w:textAlignment w:val="auto"/>
        <w:rPr>
          <w:rFonts w:hint="default" w:ascii="Times New Roman" w:hAnsi="Times New Roman" w:eastAsia="黑体" w:cs="黑体"/>
          <w:b w:val="0"/>
          <w:bCs w:val="0"/>
          <w:i w:val="0"/>
          <w:iCs w:val="0"/>
          <w:caps w:val="0"/>
          <w:spacing w:val="0"/>
          <w:sz w:val="32"/>
          <w:szCs w:val="20"/>
          <w:highlight w:val="none"/>
          <w:shd w:val="clear" w:color="auto" w:fill="auto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center"/>
        <w:textAlignment w:val="auto"/>
        <w:rPr>
          <w:rFonts w:hint="eastAsia" w:ascii="Times New Roman" w:hAnsi="Times New Roman" w:eastAsia="方正小标宋_GBK" w:cs="方正小标宋_GBK"/>
          <w:b w:val="0"/>
          <w:bCs w:val="0"/>
          <w:i w:val="0"/>
          <w:iCs w:val="0"/>
          <w:caps w:val="0"/>
          <w:color w:val="060607"/>
          <w:spacing w:val="6"/>
          <w:sz w:val="44"/>
          <w:szCs w:val="44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小标宋_GBK" w:cs="方正小标宋_GBK"/>
          <w:b w:val="0"/>
          <w:bCs w:val="0"/>
          <w:i w:val="0"/>
          <w:iCs w:val="0"/>
          <w:caps w:val="0"/>
          <w:color w:val="060607"/>
          <w:spacing w:val="6"/>
          <w:sz w:val="44"/>
          <w:szCs w:val="44"/>
          <w:highlight w:val="none"/>
          <w:shd w:val="clear" w:color="auto" w:fill="FFFFFF"/>
          <w:lang w:val="en-US" w:eastAsia="zh-CN"/>
        </w:rPr>
        <w:t>水利水电工程施工安全生产管理应知应会（7）</w:t>
      </w:r>
    </w:p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center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  <w:t>——导截流与围堰工程</w:t>
      </w:r>
    </w:p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center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firstLine="660" w:firstLineChars="200"/>
        <w:jc w:val="left"/>
        <w:textAlignment w:val="auto"/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  <w:t>一、主要规范依据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《水利水电工程围堰设计规范》（SL645-2013）、《水利水电工程施工导流设计规范》（SL623-2013）、《水利水电工程施工组织设计规范》（SL303-2017）、《水电水利工程过水围堰施工技术规范（DL/T 5799-2019）》《水利水电工程施工通用安全技术规程》（SL398-2007）、《水利水电工程施工安全防护设施技术规范（SL714-2015）、《水利水电工程施工安全管理导则》（SL721-2015）等。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0" w:firstLineChars="200"/>
        <w:jc w:val="left"/>
        <w:textAlignment w:val="auto"/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  <w:t>基本规定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64" w:firstLineChars="200"/>
        <w:jc w:val="left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1.施工单位应在施工前，对达到一定规模的危险性较大的单项工程编制专项施工方案，对于超过一定规模的危险性较大的单项工程，应组织专家对专项施工方案进行审查论证。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2.项目法人在汛前应组织有关参建单位，对生活、办公、施工区域内进行全面检查，对围堰、子堤、人员聚集区等重点防洪度汛部位和有可能诱发山体滑坡、垮塌和泥石流等灾害的区域、施工作业点进行安全评估，制定和落实防范措施。</w:t>
      </w:r>
    </w:p>
    <w:p>
      <w:pPr>
        <w:pStyle w:val="5"/>
        <w:keepNext/>
        <w:keepLines w:val="0"/>
        <w:pageBreakBefore w:val="0"/>
        <w:widowControl w:val="0"/>
        <w:numPr>
          <w:ilvl w:val="0"/>
          <w:numId w:val="1"/>
        </w:numPr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0" w:firstLineChars="200"/>
        <w:jc w:val="left"/>
        <w:textAlignment w:val="auto"/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sz w:val="32"/>
          <w:szCs w:val="32"/>
          <w:highlight w:val="none"/>
          <w:shd w:val="clear" w:color="auto" w:fill="FFFFFF"/>
          <w:lang w:val="en-US" w:eastAsia="zh-CN"/>
        </w:rPr>
        <w:t>围堰布置与安全监测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3.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土石方填筑机械设备的灯光、制动、信号、警告装置应齐全可靠。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4.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土石方填筑坡面碾压、夯实作业时，应设置边缘警戒线，设备、设施必须锁定牢固，工作装置应有防脱、防断措施。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5.土石方填筑坡面整坡、砌筑应设置人行通道，双层作业设置遮挡护栏。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6.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水下填筑应符合以下要求：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（1）截流填筑应设置水流流速监测设施。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（2）向水下填掷石块、石笼的起重设备，必须锁定牢固，人工抛掷应有防止人员坠落的措施和应急施救措施。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（3）自卸汽车向水下抛投块石、石渣时，应与临边保持足够的安全距离，应有专人指挥车辆卸料</w:t>
      </w:r>
      <w:bookmarkStart w:id="0" w:name="_GoBack"/>
      <w:bookmarkEnd w:id="0"/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，夜间卸料时，指挥人员应穿反光衣。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（4）作业人员应穿戴救生衣等防护用品。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7.施工阶段应做好基坑降排水，基坑排水分初期排水和经常性排水。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shd w:val="clear" w:fill="FFFFFF"/>
          <w:lang w:val="en-US" w:eastAsia="zh-CN" w:bidi="ar"/>
        </w:rPr>
        <w:t>8.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围堰安全监测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宜设置堰体垂直位移和水平位移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、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围堰渗流量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等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外部监测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。对于3级和失事后果较严重的4级围堰，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可设置监测土石围堰堰体浸润线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，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防渗墙应力、应变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等，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监测混凝土围堰堰体及堰基应力、应变，渗透水压力等内部安全监测项目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0" w:firstLineChars="200"/>
        <w:jc w:val="left"/>
        <w:textAlignment w:val="auto"/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Times New Roman" w:hAnsi="Times New Roman" w:eastAsia="黑体" w:cs="黑体"/>
          <w:i w:val="0"/>
          <w:iCs w:val="0"/>
          <w:caps w:val="0"/>
          <w:color w:val="060607"/>
          <w:spacing w:val="5"/>
          <w:kern w:val="0"/>
          <w:sz w:val="32"/>
          <w:szCs w:val="32"/>
          <w:shd w:val="clear" w:fill="FFFFFF"/>
          <w:lang w:val="en-US" w:eastAsia="zh-CN" w:bidi="ar"/>
        </w:rPr>
        <w:t>围堰拆除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9.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在设计阶段，应对必须拆除或破除的围堰进行专项规划和设计。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64" w:firstLineChars="200"/>
        <w:textAlignment w:val="auto"/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10.围堰拆除应制定应急预案，成立组织机构，并应配备抢险救援器材。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对围堰级别为3级且失事后果严重的工程，应提出发生超标准洪水时的工程应急措施。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11.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爆破拆除围堰、预留岩坎（塞)时，应满足附近建筑物和有关设施的安全要求。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12.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土石围堰拆除施工应符合以下要求</w:t>
      </w: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：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（1）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水上部分围堰拆除时，应设有交通和警告标志，围堰两侧边缘应设防坍塌警戒线及标志。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（2）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围堰混凝土部分采用爆破拆除时，应符合爆破作业的有关规定，必要时应进行覆盖防护。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（3）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水下部分围堰拆除，必须配有供作业人员穿戴的救生衣等防护用品。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（4）</w:t>
      </w:r>
      <w:r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  <w:t>围堰水下开挖影响通航时，应按航道主管部门要求设置临时航标或灯光信号标示等。</w:t>
      </w:r>
    </w:p>
    <w:p>
      <w:pPr>
        <w:pStyle w:val="5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64" w:firstLineChars="200"/>
        <w:textAlignment w:val="auto"/>
        <w:rPr>
          <w:rFonts w:hint="default" w:ascii="Times New Roman" w:hAnsi="Times New Roman" w:eastAsia="仿宋_GB2312" w:cs="仿宋_GB2312"/>
          <w:b w:val="0"/>
          <w:bCs w:val="0"/>
          <w:i w:val="0"/>
          <w:iCs w:val="0"/>
          <w:caps w:val="0"/>
          <w:color w:val="060607"/>
          <w:spacing w:val="6"/>
          <w:sz w:val="32"/>
          <w:szCs w:val="32"/>
          <w:highlight w:val="none"/>
          <w:shd w:val="clear" w:color="auto" w:fill="FFFFFF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BYAAABkcnMvUEsBAhQAFAAAAAgAh07iQLNJWO7Q&#10;AAAABQEAAA8AAAAAAAAAAQAgAAAAOAAAAGRycy9kb3ducmV2LnhtbFBLAQIUABQAAAAIAIdO4kBK&#10;283/EgIAABMEAAAOAAAAAAAAAAEAIAAAADUBAABkcnMvZTJvRG9jLnhtbFBLBQYAAAAABgAGAFkB&#10;AAC5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0865E62"/>
    <w:multiLevelType w:val="singleLevel"/>
    <w:tmpl w:val="50865E62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trackRevisions w:val="1"/>
  <w:documentProtection w:enforcement="0"/>
  <w:defaultTabStop w:val="420"/>
  <w:drawingGridHorizontalSpacing w:val="21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4Y2MwNDk4ZDExZDIxNjljNTJjZmU1ZmIyMTZmOGUifQ=="/>
  </w:docVars>
  <w:rsids>
    <w:rsidRoot w:val="00000000"/>
    <w:rsid w:val="0AEF215F"/>
    <w:rsid w:val="0E7250C9"/>
    <w:rsid w:val="108F6813"/>
    <w:rsid w:val="141064A9"/>
    <w:rsid w:val="1B995DFB"/>
    <w:rsid w:val="1C4334EE"/>
    <w:rsid w:val="25DC626E"/>
    <w:rsid w:val="27E7CBB6"/>
    <w:rsid w:val="2F7FFC55"/>
    <w:rsid w:val="30A44D26"/>
    <w:rsid w:val="3B237432"/>
    <w:rsid w:val="3B7B7346"/>
    <w:rsid w:val="41954FAD"/>
    <w:rsid w:val="42E60F27"/>
    <w:rsid w:val="5FD56C70"/>
    <w:rsid w:val="643A662D"/>
    <w:rsid w:val="6F6F8D5C"/>
    <w:rsid w:val="74F76FE3"/>
    <w:rsid w:val="7F978728"/>
    <w:rsid w:val="9B2C7D40"/>
    <w:rsid w:val="BFF79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paragraph" w:customStyle="1" w:styleId="10">
    <w:name w:val="图1"/>
    <w:basedOn w:val="1"/>
    <w:qFormat/>
    <w:uiPriority w:val="0"/>
    <w:pPr>
      <w:spacing w:line="300" w:lineRule="auto"/>
      <w:ind w:firstLine="480" w:firstLineChars="200"/>
      <w:jc w:val="center"/>
    </w:pPr>
    <w:rPr>
      <w:rFonts w:ascii="Times New Roman" w:hAnsi="Times New Roman"/>
      <w:b/>
      <w:sz w:val="21"/>
    </w:rPr>
  </w:style>
  <w:style w:type="paragraph" w:customStyle="1" w:styleId="11">
    <w:name w:val="图"/>
    <w:basedOn w:val="4"/>
    <w:qFormat/>
    <w:uiPriority w:val="0"/>
    <w:pPr>
      <w:spacing w:line="300" w:lineRule="auto"/>
      <w:ind w:firstLine="480" w:firstLineChars="200"/>
      <w:jc w:val="center"/>
    </w:pPr>
    <w:rPr>
      <w:rFonts w:ascii="Times New Roman" w:hAnsi="Times New Roman"/>
      <w:b/>
    </w:rPr>
  </w:style>
  <w:style w:type="paragraph" w:customStyle="1" w:styleId="12">
    <w:name w:val="表1"/>
    <w:basedOn w:val="1"/>
    <w:qFormat/>
    <w:uiPriority w:val="0"/>
    <w:pPr>
      <w:jc w:val="center"/>
    </w:pPr>
    <w:rPr>
      <w:rFonts w:ascii="Arial" w:hAnsi="Arial" w:eastAsia="宋体"/>
      <w:b/>
      <w:bCs/>
      <w:sz w:val="2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1233</Words>
  <Characters>1321</Characters>
  <Lines>0</Lines>
  <Paragraphs>0</Paragraphs>
  <TotalTime>1</TotalTime>
  <ScaleCrop>false</ScaleCrop>
  <LinksUpToDate>false</LinksUpToDate>
  <CharactersWithSpaces>1322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2024-03-23T18:49:00Z</dcterms:created>
  <dc:creator>DELL 2022</dc:creator>
  <cp:lastModifiedBy>黄xy</cp:lastModifiedBy>
  <dcterms:modified xsi:type="dcterms:W3CDTF">2024-09-20T15:58:31Z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887A55CDC96248E9BB97C29EE52E6E82_13</vt:lpwstr>
  </property>
</Properties>
</file>