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黑体" w:cs="黑体"/>
          <w:b w:val="0"/>
          <w:bCs w:val="0"/>
          <w:i w:val="0"/>
          <w:iCs w:val="0"/>
          <w:caps w:val="0"/>
          <w:spacing w:val="0"/>
          <w:sz w:val="32"/>
          <w:szCs w:val="20"/>
          <w:highlight w:val="none"/>
          <w:shd w:val="clear" w:color="auto" w:fill="auto"/>
          <w:lang w:val="en-US" w:eastAsia="zh-CN" w:bidi="ar-SA"/>
        </w:rPr>
      </w:pPr>
      <w:r>
        <w:rPr>
          <w:rFonts w:hint="eastAsia" w:ascii="Times New Roman" w:hAnsi="Times New Roman" w:eastAsia="黑体" w:cs="黑体"/>
          <w:b w:val="0"/>
          <w:bCs w:val="0"/>
          <w:i w:val="0"/>
          <w:iCs w:val="0"/>
          <w:caps w:val="0"/>
          <w:color w:val="060607"/>
          <w:spacing w:val="0"/>
          <w:sz w:val="32"/>
          <w:szCs w:val="20"/>
          <w:highlight w:val="none"/>
          <w:shd w:val="clear" w:color="auto" w:fill="auto"/>
          <w:lang w:val="en-US" w:eastAsia="zh-CN" w:bidi="ar-SA"/>
        </w:rPr>
        <w:t>附件</w:t>
      </w:r>
      <w:r>
        <w:rPr>
          <w:rFonts w:hint="eastAsia" w:ascii="Times New Roman" w:hAnsi="Times New Roman" w:eastAsia="黑体" w:cs="黑体"/>
          <w:b w:val="0"/>
          <w:bCs w:val="0"/>
          <w:i w:val="0"/>
          <w:iCs w:val="0"/>
          <w:caps w:val="0"/>
          <w:spacing w:val="0"/>
          <w:sz w:val="32"/>
          <w:szCs w:val="20"/>
          <w:highlight w:val="none"/>
          <w:shd w:val="clear" w:color="auto" w:fill="auto"/>
          <w:lang w:val="en-US" w:eastAsia="zh-CN" w:bidi="ar-SA"/>
        </w:rPr>
        <w:t>1</w:t>
      </w:r>
    </w:p>
    <w:p>
      <w:pPr>
        <w:pStyle w:val="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default" w:ascii="Times New Roman" w:hAnsi="Times New Roman" w:eastAsia="黑体" w:cs="黑体"/>
          <w:b w:val="0"/>
          <w:bCs w:val="0"/>
          <w:i w:val="0"/>
          <w:iCs w:val="0"/>
          <w:caps w:val="0"/>
          <w:spacing w:val="0"/>
          <w:sz w:val="32"/>
          <w:szCs w:val="20"/>
          <w:highlight w:val="none"/>
          <w:shd w:val="clear" w:color="auto" w:fill="auto"/>
          <w:lang w:val="en-US" w:eastAsia="zh-CN" w:bidi="ar-SA"/>
        </w:rPr>
      </w:pPr>
    </w:p>
    <w:p>
      <w:pPr>
        <w:pStyle w:val="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方正小标宋_GBK" w:cs="方正小标宋_GBK"/>
          <w:b w:val="0"/>
          <w:bCs w:val="0"/>
          <w:i w:val="0"/>
          <w:iCs w:val="0"/>
          <w:caps w:val="0"/>
          <w:color w:val="060607"/>
          <w:spacing w:val="6"/>
          <w:sz w:val="44"/>
          <w:szCs w:val="44"/>
          <w:highlight w:val="none"/>
          <w:shd w:val="clear" w:color="auto" w:fill="FFFFFF"/>
          <w:lang w:val="en-US" w:eastAsia="zh-CN"/>
        </w:rPr>
      </w:pPr>
      <w:r>
        <w:rPr>
          <w:rFonts w:hint="eastAsia" w:ascii="Times New Roman" w:hAnsi="Times New Roman" w:eastAsia="方正小标宋_GBK" w:cs="方正小标宋_GBK"/>
          <w:b w:val="0"/>
          <w:bCs w:val="0"/>
          <w:i w:val="0"/>
          <w:iCs w:val="0"/>
          <w:caps w:val="0"/>
          <w:color w:val="060607"/>
          <w:spacing w:val="6"/>
          <w:sz w:val="44"/>
          <w:szCs w:val="44"/>
          <w:highlight w:val="none"/>
          <w:shd w:val="clear" w:color="auto" w:fill="FFFFFF"/>
          <w:lang w:val="en-US" w:eastAsia="zh-CN"/>
        </w:rPr>
        <w:t>水利水电工程施工安全生产管理应知应会（6）</w:t>
      </w:r>
    </w:p>
    <w:p>
      <w:pPr>
        <w:pStyle w:val="5"/>
        <w:keepNext w:val="0"/>
        <w:keepLines w:val="0"/>
        <w:pageBreakBefore w:val="0"/>
        <w:widowControl w:val="0"/>
        <w:suppressLineNumbers w:val="0"/>
        <w:shd w:val="clear" w:color="auto"/>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仿宋_GB2312" w:cs="仿宋_GB2312"/>
          <w:b w:val="0"/>
          <w:bCs w:val="0"/>
          <w:i w:val="0"/>
          <w:iCs w:val="0"/>
          <w:caps w:val="0"/>
          <w:color w:val="060607"/>
          <w:spacing w:val="5"/>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5"/>
          <w:sz w:val="32"/>
          <w:szCs w:val="32"/>
          <w:highlight w:val="none"/>
          <w:shd w:val="clear" w:color="auto" w:fill="FFFFFF"/>
          <w:lang w:val="en-US" w:eastAsia="zh-CN"/>
        </w:rPr>
        <w:t>——脚手架工程</w:t>
      </w:r>
    </w:p>
    <w:p>
      <w:pPr>
        <w:pStyle w:val="5"/>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Times New Roman" w:hAnsi="Times New Roman" w:eastAsia="仿宋_GB2312" w:cs="仿宋_GB2312"/>
          <w:b w:val="0"/>
          <w:bCs w:val="0"/>
          <w:i w:val="0"/>
          <w:iCs w:val="0"/>
          <w:caps w:val="0"/>
          <w:color w:val="060607"/>
          <w:spacing w:val="5"/>
          <w:sz w:val="32"/>
          <w:szCs w:val="32"/>
          <w:highlight w:val="none"/>
          <w:shd w:val="clear" w:color="auto" w:fill="FFFFFF"/>
          <w:lang w:val="en-US" w:eastAsia="zh-CN"/>
        </w:rPr>
      </w:pP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left"/>
        <w:textAlignment w:val="auto"/>
        <w:rPr>
          <w:rFonts w:hint="eastAsia" w:ascii="黑体" w:hAnsi="黑体" w:eastAsia="黑体" w:cs="黑体"/>
          <w:i w:val="0"/>
          <w:iCs w:val="0"/>
          <w:caps w:val="0"/>
          <w:color w:val="060607"/>
          <w:spacing w:val="5"/>
          <w:sz w:val="32"/>
          <w:szCs w:val="32"/>
          <w:highlight w:val="none"/>
          <w:shd w:val="clear" w:color="auto" w:fill="FFFFFF"/>
          <w:lang w:val="en-US" w:eastAsia="zh-CN"/>
        </w:rPr>
      </w:pPr>
      <w:r>
        <w:rPr>
          <w:rFonts w:hint="eastAsia" w:ascii="黑体" w:hAnsi="黑体" w:eastAsia="黑体" w:cs="黑体"/>
          <w:i w:val="0"/>
          <w:iCs w:val="0"/>
          <w:caps w:val="0"/>
          <w:color w:val="060607"/>
          <w:spacing w:val="5"/>
          <w:sz w:val="32"/>
          <w:szCs w:val="32"/>
          <w:highlight w:val="none"/>
          <w:shd w:val="clear" w:color="auto" w:fill="FFFFFF"/>
          <w:lang w:val="en-US" w:eastAsia="zh-CN"/>
        </w:rPr>
        <w:t>一、主要规范依据</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《施工脚手架通用规范》（</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GB55023—2022</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《建筑</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施工扣件式钢管脚手架安全技术规范</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JGJ130—2011</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、《碳素结构钢》（</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GB/T700—</w:t>
      </w:r>
      <w:r>
        <w:rPr>
          <w:rFonts w:hint="eastAsia"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2006</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）、《钢管脚手架扣件》（</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GB15831—2006</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、《水利水电工程施工通用安全技术规程》</w:t>
      </w:r>
      <w:r>
        <w:rPr>
          <w:rFonts w:hint="eastAsia"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（SL398</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w:t>
      </w:r>
      <w:r>
        <w:rPr>
          <w:rFonts w:hint="eastAsia"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2007）</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、《水利水电工程施工安全防护设施技术规范》</w:t>
      </w:r>
      <w:r>
        <w:rPr>
          <w:rFonts w:hint="eastAsia"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（SL714</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w:t>
      </w:r>
      <w:r>
        <w:rPr>
          <w:rFonts w:hint="eastAsia"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2015）</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、《水利水电工程施工安全管理导则》</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（SL721—2015）</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等。</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left"/>
        <w:textAlignment w:val="auto"/>
        <w:rPr>
          <w:rFonts w:hint="eastAsia" w:ascii="黑体" w:hAnsi="黑体" w:eastAsia="黑体" w:cs="黑体"/>
          <w:i w:val="0"/>
          <w:iCs w:val="0"/>
          <w:caps w:val="0"/>
          <w:color w:val="060607"/>
          <w:spacing w:val="5"/>
          <w:sz w:val="32"/>
          <w:szCs w:val="32"/>
          <w:highlight w:val="none"/>
          <w:shd w:val="clear" w:color="auto" w:fill="FFFFFF"/>
          <w:lang w:val="en-US" w:eastAsia="zh-CN"/>
        </w:rPr>
      </w:pPr>
      <w:r>
        <w:rPr>
          <w:rFonts w:hint="eastAsia" w:ascii="黑体" w:hAnsi="黑体" w:eastAsia="黑体" w:cs="黑体"/>
          <w:i w:val="0"/>
          <w:iCs w:val="0"/>
          <w:caps w:val="0"/>
          <w:color w:val="060607"/>
          <w:spacing w:val="5"/>
          <w:sz w:val="32"/>
          <w:szCs w:val="32"/>
          <w:highlight w:val="none"/>
          <w:shd w:val="clear" w:color="auto" w:fill="FFFFFF"/>
          <w:lang w:val="en-US" w:eastAsia="zh-CN"/>
        </w:rPr>
        <w:t>二、基本规定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1.脚手架作业人员应持有相关部门颁发的有效特种作业人员操作证，并经过作业前教育培训。</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2.脚手架作业人员的健康条件应符合《高处作业安全管理规定》，患有高血压、心脏病、癫痫等职业禁忌证的人员不得从事脚手架作业。</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3.</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工程应纳入危险源辨识与管控对象，</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并采取有效的防护措施。</w:t>
      </w:r>
    </w:p>
    <w:p>
      <w:pPr>
        <w:pStyle w:val="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4.</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脚手架搭设</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和拆除</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作业</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前，应编制专项施工方案，并经审批后才能实施。</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5.</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脚手架搭设</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和拆除</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作业</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前，应将专项施工方案向施工现场的管理人员和作业人员进行安全技术交底。</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6.脚手架地基应平整结实，满足承载力和变形要求，并设置排水措施，不应积水。</w:t>
      </w:r>
    </w:p>
    <w:p>
      <w:pPr>
        <w:pStyle w:val="5"/>
        <w:keepNext/>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left"/>
        <w:textAlignment w:val="auto"/>
        <w:rPr>
          <w:rFonts w:hint="eastAsia" w:ascii="黑体" w:hAnsi="黑体" w:eastAsia="黑体" w:cs="黑体"/>
          <w:i w:val="0"/>
          <w:iCs w:val="0"/>
          <w:caps w:val="0"/>
          <w:color w:val="060607"/>
          <w:spacing w:val="5"/>
          <w:sz w:val="32"/>
          <w:szCs w:val="32"/>
          <w:highlight w:val="none"/>
          <w:shd w:val="clear" w:color="auto" w:fill="FFFFFF"/>
          <w:lang w:val="en-US" w:eastAsia="zh-CN"/>
        </w:rPr>
      </w:pPr>
      <w:r>
        <w:rPr>
          <w:rFonts w:hint="eastAsia" w:ascii="黑体" w:hAnsi="黑体" w:eastAsia="黑体" w:cs="黑体"/>
          <w:i w:val="0"/>
          <w:iCs w:val="0"/>
          <w:caps w:val="0"/>
          <w:color w:val="060607"/>
          <w:spacing w:val="5"/>
          <w:sz w:val="32"/>
          <w:szCs w:val="32"/>
          <w:highlight w:val="none"/>
          <w:shd w:val="clear" w:color="auto" w:fill="FFFFFF"/>
          <w:lang w:val="en-US" w:eastAsia="zh-CN"/>
        </w:rPr>
        <w:t>三、脚手架搭设作业安全管理</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7.</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所有脚手架钢管、扣件、脚手板等材料应使用绳索或其他传送设施上下传递，严禁高空抛掷</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，并</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做好防护措施</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8.</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脚手架的基点和依附构件</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物体</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必须牢固可靠，脚手架的每根立杆底部应设置底</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座</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和</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垫</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板</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也可采用</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槽钢。</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9.脚手架各杆件端头伸出扣件盖板边缘的长度不应小于100mm，</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脚手架两端、转角处以及每隔</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6~7</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根立杆应设置剪刀支撑或抛杆，剪刀支撑或抛杆与地面的夹角应在</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45</w:t>
      </w:r>
      <w:r>
        <w:rPr>
          <w:rFonts w:hint="eastAsia" w:ascii="Times New Roman" w:hAnsi="Times New Roman" w:eastAsia="仿宋_GB2312" w:cs="Times New Roman"/>
          <w:b w:val="0"/>
          <w:bCs w:val="0"/>
          <w:i w:val="0"/>
          <w:iCs w:val="0"/>
          <w:caps w:val="0"/>
          <w:color w:val="060607"/>
          <w:spacing w:val="6"/>
          <w:sz w:val="44"/>
          <w:szCs w:val="44"/>
          <w:highlight w:val="none"/>
          <w:shd w:val="clear" w:color="auto" w:fill="FFFFFF"/>
          <w:vertAlign w:val="superscript"/>
          <w:lang w:val="en-US" w:eastAsia="zh-CN"/>
        </w:rPr>
        <w:t>。</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~60</w:t>
      </w:r>
      <w:r>
        <w:rPr>
          <w:rFonts w:hint="eastAsia" w:ascii="Times New Roman" w:hAnsi="Times New Roman" w:eastAsia="仿宋_GB2312" w:cs="Times New Roman"/>
          <w:b w:val="0"/>
          <w:bCs w:val="0"/>
          <w:i w:val="0"/>
          <w:iCs w:val="0"/>
          <w:caps w:val="0"/>
          <w:color w:val="060607"/>
          <w:spacing w:val="6"/>
          <w:sz w:val="44"/>
          <w:szCs w:val="44"/>
          <w:highlight w:val="none"/>
          <w:shd w:val="clear" w:color="auto" w:fill="FFFFFF"/>
          <w:vertAlign w:val="superscript"/>
          <w:lang w:val="en-US" w:eastAsia="zh-CN"/>
        </w:rPr>
        <w:t>。</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10.</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脚手架的作业层应满铺脚手板，不得放置任何活动部件</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作业层或通道外侧应设置不</w:t>
      </w:r>
      <w:bookmarkStart w:id="0" w:name="_GoBack"/>
      <w:bookmarkEnd w:id="0"/>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小于</w:t>
      </w:r>
      <w:r>
        <w:rPr>
          <w:rFonts w:hint="default" w:ascii="Times New Roman" w:hAnsi="Times New Roman" w:eastAsia="仿宋_GB2312" w:cs="Times New Roman"/>
          <w:b w:val="0"/>
          <w:bCs w:val="0"/>
          <w:i w:val="0"/>
          <w:iCs w:val="0"/>
          <w:caps w:val="0"/>
          <w:color w:val="060607"/>
          <w:spacing w:val="6"/>
          <w:sz w:val="32"/>
          <w:szCs w:val="32"/>
          <w:highlight w:val="none"/>
          <w:shd w:val="clear" w:color="auto" w:fill="FFFFFF"/>
          <w:lang w:val="en-US" w:eastAsia="zh-CN"/>
        </w:rPr>
        <w:t>180</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mm高的挡脚板。</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11.</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脚手架应设立上下通道</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交叉作业时，脚手架在垂直方向必须设置密目安全网，且安全网的设置要与脚手架的搭设同步</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12.</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移动式脚手架应按设计方案组装</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作业时应与建</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构</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筑物连接牢固，并将滚轮锁住。移动式脚手架移动时架上不得留有人员及材料，并有防止倾倒的措施。</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13.应严格按设计图纸实施，遵循自下而上、逐层搭设、逐层加固、逐层上升的原则。应尽量避免夜间工作，夜间搭设架子，应有足够的照明。</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14.</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在脚手架使用过程中，若发现脚手架立杆沉陷或悬空、连接松动、架子歪斜变形等现象，应立即停止作业，由脚手架搭设人员整改合格后，方可进行作业。</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15.</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脚手架搭设达到设计高度或安装就位后，应进行验收，验收不合格的，不得使用。</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16.脚手架作业严禁利用脚手架吊运重物，严禁推车在架子上跑动，严禁在脚手架上拉结吊装缆绳，严禁任意拆除脚手架部件和连墙杆件，严禁起吊作业时碰撞或扯动脚手架。</w:t>
      </w:r>
    </w:p>
    <w:p>
      <w:pPr>
        <w:pStyle w:val="5"/>
        <w:keepNext w:val="0"/>
        <w:keepLines w:val="0"/>
        <w:pageBreakBefore w:val="0"/>
        <w:widowControl w:val="0"/>
        <w:numPr>
          <w:ilvl w:val="0"/>
          <w:numId w:val="0"/>
        </w:numPr>
        <w:suppressLineNumbers w:val="0"/>
        <w:shd w:val="clear" w:color="auto" w:fill="auto"/>
        <w:kinsoku/>
        <w:wordWrap/>
        <w:overflowPunct/>
        <w:topLinePunct w:val="0"/>
        <w:autoSpaceDE/>
        <w:autoSpaceDN/>
        <w:bidi w:val="0"/>
        <w:adjustRightInd/>
        <w:snapToGrid/>
        <w:spacing w:before="0" w:beforeAutospacing="0" w:after="0" w:afterAutospacing="0" w:line="560" w:lineRule="exact"/>
        <w:ind w:left="0" w:leftChars="0" w:right="0" w:rightChars="0" w:firstLine="660" w:firstLineChars="200"/>
        <w:jc w:val="left"/>
        <w:textAlignment w:val="auto"/>
        <w:rPr>
          <w:rFonts w:hint="eastAsia" w:ascii="黑体" w:hAnsi="黑体" w:eastAsia="黑体" w:cs="黑体"/>
          <w:i w:val="0"/>
          <w:iCs w:val="0"/>
          <w:caps w:val="0"/>
          <w:color w:val="060607"/>
          <w:spacing w:val="5"/>
          <w:sz w:val="32"/>
          <w:szCs w:val="32"/>
          <w:highlight w:val="none"/>
          <w:shd w:val="clear" w:color="auto" w:fill="FFFFFF"/>
          <w:lang w:val="en-US" w:eastAsia="zh-CN"/>
        </w:rPr>
      </w:pPr>
      <w:r>
        <w:rPr>
          <w:rFonts w:hint="eastAsia" w:ascii="黑体" w:hAnsi="黑体" w:eastAsia="黑体" w:cs="黑体"/>
          <w:i w:val="0"/>
          <w:iCs w:val="0"/>
          <w:caps w:val="0"/>
          <w:color w:val="060607"/>
          <w:spacing w:val="5"/>
          <w:sz w:val="32"/>
          <w:szCs w:val="32"/>
          <w:highlight w:val="none"/>
          <w:shd w:val="clear" w:color="auto" w:fill="FFFFFF"/>
          <w:lang w:val="en-US" w:eastAsia="zh-CN"/>
        </w:rPr>
        <w:t>四、脚手架拆除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17.</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脚手架使用完毕应及时拆除。脚手架拆除时，必须按拆除方案中的要求进行</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应统一指挥</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按顺序自上而下地进行，严禁上下层同时拆除或自下而上地进行。严禁用将整个脚手架推倒的方法进行拆除。</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且</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现场应设专人安全监护。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18.脚手架</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拆除前，应将电气设备</w:t>
      </w: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其他管、线路，机械设备等拆除或加以保护。</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19.</w:t>
      </w:r>
      <w:r>
        <w:rPr>
          <w:rFonts w:hint="default"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拆除斜拉杆及纵向水平杆时，应先拆除中间的连接扣件，再拆除两端的扣件。</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pPr>
      <w:r>
        <w:rPr>
          <w:rFonts w:hint="eastAsia" w:ascii="Times New Roman" w:hAnsi="Times New Roman" w:eastAsia="仿宋_GB2312" w:cs="仿宋_GB2312"/>
          <w:b w:val="0"/>
          <w:bCs w:val="0"/>
          <w:i w:val="0"/>
          <w:iCs w:val="0"/>
          <w:caps w:val="0"/>
          <w:color w:val="060607"/>
          <w:spacing w:val="6"/>
          <w:sz w:val="32"/>
          <w:szCs w:val="32"/>
          <w:highlight w:val="none"/>
          <w:shd w:val="clear" w:color="auto" w:fill="FFFFFF"/>
          <w:lang w:val="en-US" w:eastAsia="zh-CN"/>
        </w:rPr>
        <w:t>20.拆下的脚手杆，脚手板，扣件等材料应向下传递或用绳索送下，严禁向下抛掷。</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64" w:firstLineChars="200"/>
        <w:textAlignment w:val="auto"/>
        <w:rPr>
          <w:rFonts w:hint="default" w:ascii="Times New Roman" w:hAnsi="Times New Roman" w:eastAsia="仿宋_GB2312" w:cs="仿宋_GB2312"/>
          <w:b w:val="0"/>
          <w:bCs w:val="0"/>
          <w:i w:val="0"/>
          <w:iCs w:val="0"/>
          <w:caps w:val="0"/>
          <w:color w:val="060607"/>
          <w:spacing w:val="6"/>
          <w:sz w:val="32"/>
          <w:szCs w:val="32"/>
          <w:highlight w:val="yellow"/>
          <w:shd w:val="clear" w:color="auto" w:fill="FFFFFF"/>
          <w:lang w:val="en-US" w:eastAsia="zh-CN"/>
        </w:rPr>
      </w:pPr>
    </w:p>
    <w:sectPr>
      <w:footerReference r:id="rId3" w:type="default"/>
      <w:pgSz w:w="11906" w:h="16838"/>
      <w:pgMar w:top="2098" w:right="1474" w:bottom="1984" w:left="1587"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Y2MwNDk4ZDExZDIxNjljNTJjZmU1ZmIyMTZmOGUifQ=="/>
  </w:docVars>
  <w:rsids>
    <w:rsidRoot w:val="00000000"/>
    <w:rsid w:val="0AEF215F"/>
    <w:rsid w:val="0E7250C9"/>
    <w:rsid w:val="141064A9"/>
    <w:rsid w:val="1B995DFB"/>
    <w:rsid w:val="1C4334EE"/>
    <w:rsid w:val="25DC626E"/>
    <w:rsid w:val="2EE7DAE8"/>
    <w:rsid w:val="30A44D26"/>
    <w:rsid w:val="3B237432"/>
    <w:rsid w:val="3B7B7346"/>
    <w:rsid w:val="41954FAD"/>
    <w:rsid w:val="42E60F27"/>
    <w:rsid w:val="643A662D"/>
    <w:rsid w:val="6F6F8D5C"/>
    <w:rsid w:val="705135F0"/>
    <w:rsid w:val="76D419E8"/>
    <w:rsid w:val="78CFC5F7"/>
    <w:rsid w:val="79FF1F6D"/>
    <w:rsid w:val="7EFC6520"/>
    <w:rsid w:val="7F978728"/>
    <w:rsid w:val="7FE5716B"/>
    <w:rsid w:val="9B2C7D40"/>
    <w:rsid w:val="A34F6E4F"/>
    <w:rsid w:val="BFF79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able of figures"/>
    <w:basedOn w:val="1"/>
    <w:next w:val="1"/>
    <w:qFormat/>
    <w:uiPriority w:val="0"/>
    <w:pPr>
      <w:ind w:leftChars="200" w:hanging="200" w:hanging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图1"/>
    <w:basedOn w:val="1"/>
    <w:qFormat/>
    <w:uiPriority w:val="0"/>
    <w:pPr>
      <w:spacing w:line="300" w:lineRule="auto"/>
      <w:ind w:firstLine="480" w:firstLineChars="200"/>
      <w:jc w:val="center"/>
    </w:pPr>
    <w:rPr>
      <w:rFonts w:ascii="Times New Roman" w:hAnsi="Times New Roman"/>
      <w:b/>
      <w:sz w:val="21"/>
    </w:rPr>
  </w:style>
  <w:style w:type="paragraph" w:customStyle="1" w:styleId="11">
    <w:name w:val="图"/>
    <w:basedOn w:val="4"/>
    <w:qFormat/>
    <w:uiPriority w:val="0"/>
    <w:pPr>
      <w:spacing w:line="300" w:lineRule="auto"/>
      <w:ind w:firstLine="480" w:firstLineChars="200"/>
      <w:jc w:val="center"/>
    </w:pPr>
    <w:rPr>
      <w:rFonts w:ascii="Times New Roman" w:hAnsi="Times New Roman"/>
      <w:b/>
    </w:rPr>
  </w:style>
  <w:style w:type="paragraph" w:customStyle="1" w:styleId="12">
    <w:name w:val="表1"/>
    <w:basedOn w:val="1"/>
    <w:qFormat/>
    <w:uiPriority w:val="0"/>
    <w:pPr>
      <w:jc w:val="center"/>
    </w:pPr>
    <w:rPr>
      <w:rFonts w:ascii="Arial" w:hAnsi="Arial" w:eastAsia="宋体"/>
      <w:b/>
      <w:bCs/>
      <w:sz w:val="2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1233</Words>
  <Characters>1321</Characters>
  <Lines>0</Lines>
  <Paragraphs>0</Paragraphs>
  <TotalTime>13</TotalTime>
  <ScaleCrop>false</ScaleCrop>
  <LinksUpToDate>false</LinksUpToDate>
  <CharactersWithSpaces>1322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2024-03-24T02:49:00Z</dcterms:created>
  <dc:creator>DELL 2022</dc:creator>
  <cp:lastModifiedBy>黄xy</cp:lastModifiedBy>
  <dcterms:modified xsi:type="dcterms:W3CDTF">2024-07-24T09:41:36Z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D5255ECC6B304D208DD5286E0D295620_12</vt:lpwstr>
  </property>
</Properties>
</file>