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60607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  <w:t>1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left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spacing w:val="0"/>
          <w:sz w:val="32"/>
          <w:szCs w:val="20"/>
          <w:highlight w:val="none"/>
          <w:shd w:val="clear" w:color="auto" w:fill="auto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i w:val="0"/>
          <w:iCs w:val="0"/>
          <w:caps w:val="0"/>
          <w:color w:val="060607"/>
          <w:spacing w:val="6"/>
          <w:sz w:val="44"/>
          <w:szCs w:val="44"/>
          <w:highlight w:val="none"/>
          <w:shd w:val="clear" w:color="auto" w:fill="FFFFFF"/>
          <w:lang w:val="en-US" w:eastAsia="zh-CN"/>
        </w:rPr>
        <w:t>水利水电工程施工安全生产管理应知应会（4）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——隧洞工程</w:t>
      </w: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6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一、主要规范依据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《水工建筑物地下开挖工程施工规范》（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SL378-2007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），《水工建筑物岩石地基开挖施工技术规范》（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SL47-2020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），《水工隧洞设计规范》（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SL279-2016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），《水工隧洞安全监测技术规范》（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SL764-2018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），《建筑施工土石方工程安全技术规范》（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JGJ180-2009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），《水利水电工程施工通用安全技术规程》（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SL398-2007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），《水利水电工程施工安全防护设施技术规范（SL714-2015），《水利水电工程施工安全管理导则》（SL721-2015）等。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0" w:leftChars="0" w:right="0" w:rightChars="0" w:firstLine="660" w:firstLineChars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sz w:val="32"/>
          <w:szCs w:val="32"/>
          <w:highlight w:val="none"/>
          <w:shd w:val="clear" w:color="auto" w:fill="FFFFFF"/>
          <w:lang w:val="en-US" w:eastAsia="zh-CN"/>
        </w:rPr>
        <w:t>二、基本规定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1.施工单位应根据地质条件和设计要求制定开挖和支护方案，经监理单位审批后实施。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2.地下洞室开挖过程中，应根据地下洞室的工程规模、地质条件、施工方法开展安全监测工作，以指导开挖施工和确定加固方案及支护参数。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3.在进入隧洞前，应对所有安全设备进行全面检查，包括但不限于照明系统、通风系统、消防设备、安全警示标志等。同时，应确保所有工作人员都熟悉并遵守安全操作规程。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4.洞内作业照明电源电压一般不应超过36V，对于潮湿或有水的环境，应使用更低的安全电压，如12V或24V。所有电气设备应符合国家安全标准，并定期进行维护和检查。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洞内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外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应安装有效的通讯设备，确保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洞内外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的通讯畅通无阻。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6.进洞深度大于洞径5倍时，应采取机械通风措施，供风管线铺设应平顺，密封良好，并经常检查维护。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7.洞口应根据地形和水文条件做好排水设计，选择经济合理的排水设施，不应使地表水倒灌入洞内，冲刷洞口和施工道路。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0" w:leftChars="0" w:right="0" w:rightChars="0" w:firstLine="660" w:firstLineChars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  <w:t>三、开挖掘进与临时支护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8.地下洞室洞口削坡应自上而下分层进行，严禁上下垂直作业。进洞前，应做好开挖及其影响范围内的危石清理和坡顶排水，按设计要求进行边坡加固。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9.不良地质条件洞段应采用短进尺和分部开挖方式施工。开挖后应立即进行临时支护，支护完成后方可进行下一循环或下一分部的开挖。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10.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开挖后需要支护的地段，应根据围岩条件、洞室断面型式、断面尺寸、开挖方法、围岩自稳时间等因素，确定以锚杆、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喷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射混凝土为主的临时支护方案。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11.施工过程中应做好巡视检查。巡视检查中如发现隧洞有异常迹象，应及时分析原因，并向主管部门报告。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-30" w:leftChars="0" w:right="0" w:rightChars="0" w:firstLine="660" w:firstLineChars="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60607"/>
          <w:spacing w:val="5"/>
          <w:kern w:val="0"/>
          <w:sz w:val="32"/>
          <w:szCs w:val="32"/>
          <w:shd w:val="clear" w:fill="FFFFFF"/>
          <w:lang w:val="en-US" w:eastAsia="zh-CN" w:bidi="ar"/>
        </w:rPr>
        <w:t>四、隧洞工程安全监测与险情防护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12.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水工隧洞安全监测应包括围岩和支护衬砌结构、封堵体结构以及对隧洞安全有重大影响的进、出口边坡等。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13.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观测断面应设置在有代表性的地质地段，对围岩变形大、高应力地区、膨胀性岩体、洞室交叉口、软弱破碎带及工程特殊部位应重点监测。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14.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发生塌方时，施工单位应立即按施工预案采取加固抢险措施，迅速制止塌方，防止范围扩大。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15.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处理塌方时，应遵守下列原则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1）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先加固好端部未破坏的支护或岩体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2）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加固处理措施与永久支护或衬砌相结合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3）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塌落物未将洞室堵塞时，应先支护或加固顶部。当确认顶部已稳定时，再清除塌落物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4）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塌落物已将洞室堵塞时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宜采用管棚或管棚加注浆等方法加固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然后再边开挖、边支护或边衬砌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5）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发生冒顶式塌方时，应首先加固好地表塌方区域周围岩体，并做好排水，防止塌方范围扩大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6）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对塌落物应进行灌浆固结，再按上述要求有计划的清除塌落物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；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7）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  <w:t>有地下水活动的地段，应先治水后处理塌方。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4" w:firstLineChars="200"/>
        <w:textAlignment w:val="auto"/>
        <w:rPr>
          <w:rFonts w:hint="default" w:ascii="Times New Roman" w:hAnsi="Times New Roman" w:eastAsia="仿宋_GB2312" w:cs="仿宋_GB2312"/>
          <w:b w:val="0"/>
          <w:bCs w:val="0"/>
          <w:i w:val="0"/>
          <w:iCs w:val="0"/>
          <w:caps w:val="0"/>
          <w:color w:val="060607"/>
          <w:spacing w:val="6"/>
          <w:sz w:val="32"/>
          <w:szCs w:val="32"/>
          <w:highlight w:val="none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Y2MwNDk4ZDExZDIxNjljNTJjZmU1ZmIyMTZmOGUifQ=="/>
  </w:docVars>
  <w:rsids>
    <w:rsidRoot w:val="00000000"/>
    <w:rsid w:val="0AEF215F"/>
    <w:rsid w:val="0E7250C9"/>
    <w:rsid w:val="1070530A"/>
    <w:rsid w:val="141064A9"/>
    <w:rsid w:val="1B995DFB"/>
    <w:rsid w:val="25DC626E"/>
    <w:rsid w:val="30A44D26"/>
    <w:rsid w:val="392C37CC"/>
    <w:rsid w:val="3B237432"/>
    <w:rsid w:val="3B7B7346"/>
    <w:rsid w:val="3C7E34A2"/>
    <w:rsid w:val="3CFCE621"/>
    <w:rsid w:val="3EF18AF9"/>
    <w:rsid w:val="3FDAA78D"/>
    <w:rsid w:val="41954FAD"/>
    <w:rsid w:val="42E60F27"/>
    <w:rsid w:val="4EEFF040"/>
    <w:rsid w:val="5EDE6E2D"/>
    <w:rsid w:val="5FBF8A01"/>
    <w:rsid w:val="5FDF9571"/>
    <w:rsid w:val="643A662D"/>
    <w:rsid w:val="7ED3735E"/>
    <w:rsid w:val="DB170679"/>
    <w:rsid w:val="E7FB63CE"/>
    <w:rsid w:val="FE78C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图1"/>
    <w:basedOn w:val="1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  <w:sz w:val="21"/>
    </w:rPr>
  </w:style>
  <w:style w:type="paragraph" w:customStyle="1" w:styleId="11">
    <w:name w:val="图"/>
    <w:basedOn w:val="4"/>
    <w:qFormat/>
    <w:uiPriority w:val="0"/>
    <w:pPr>
      <w:spacing w:line="300" w:lineRule="auto"/>
      <w:ind w:firstLine="480" w:firstLineChars="200"/>
      <w:jc w:val="center"/>
    </w:pPr>
    <w:rPr>
      <w:rFonts w:ascii="Times New Roman" w:hAnsi="Times New Roman"/>
      <w:b/>
    </w:rPr>
  </w:style>
  <w:style w:type="paragraph" w:customStyle="1" w:styleId="12">
    <w:name w:val="表1"/>
    <w:basedOn w:val="1"/>
    <w:qFormat/>
    <w:uiPriority w:val="0"/>
    <w:pPr>
      <w:jc w:val="center"/>
    </w:pPr>
    <w:rPr>
      <w:rFonts w:ascii="Arial" w:hAnsi="Arial" w:eastAsia="宋体"/>
      <w:b/>
      <w:bCs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1313</Words>
  <Characters>1422</Characters>
  <Lines>0</Lines>
  <Paragraphs>0</Paragraphs>
  <TotalTime>3</TotalTime>
  <ScaleCrop>false</ScaleCrop>
  <LinksUpToDate>false</LinksUpToDate>
  <CharactersWithSpaces>1425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2024-03-23T18:49:00Z</dcterms:created>
  <dc:creator>DELL 2022</dc:creator>
  <cp:lastModifiedBy>gxxc</cp:lastModifiedBy>
  <dcterms:modified xsi:type="dcterms:W3CDTF">2024-06-24T16:54:30Z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D5255ECC6B304D208DD5286E0D295620_12</vt:lpwstr>
  </property>
</Properties>
</file>