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240" w:lineRule="auto"/>
        <w:jc w:val="center"/>
        <w:rPr>
          <w:rFonts w:ascii="Times New Roman" w:hAnsi="Times New Roman" w:eastAsia="方正小标宋简体"/>
          <w:sz w:val="42"/>
          <w:szCs w:val="42"/>
        </w:rPr>
      </w:pPr>
    </w:p>
    <w:p>
      <w:pPr>
        <w:spacing w:line="620" w:lineRule="exact"/>
        <w:jc w:val="center"/>
        <w:rPr>
          <w:rFonts w:hint="eastAsia" w:ascii="方正小标宋简体" w:eastAsia="方正小标宋简体"/>
          <w:spacing w:val="-4"/>
          <w:sz w:val="40"/>
          <w:szCs w:val="40"/>
          <w:lang w:val="en-US" w:eastAsia="zh-CN"/>
        </w:rPr>
      </w:pPr>
      <w:r>
        <w:rPr>
          <w:rFonts w:hint="eastAsia" w:ascii="方正小标宋简体" w:eastAsia="方正小标宋简体"/>
          <w:spacing w:val="-4"/>
          <w:sz w:val="40"/>
          <w:szCs w:val="40"/>
        </w:rPr>
        <w:t>《广西调水工程标准化管理评价细则》（试行）</w:t>
      </w:r>
      <w:r>
        <w:rPr>
          <w:rFonts w:hint="eastAsia" w:ascii="方正小标宋简体" w:eastAsia="方正小标宋简体"/>
          <w:spacing w:val="-4"/>
          <w:sz w:val="40"/>
          <w:szCs w:val="40"/>
          <w:lang w:eastAsia="zh-CN"/>
        </w:rPr>
        <w:t>政策解读</w:t>
      </w:r>
    </w:p>
    <w:p>
      <w:pPr>
        <w:spacing w:line="620" w:lineRule="exact"/>
        <w:jc w:val="both"/>
        <w:rPr>
          <w:rFonts w:hint="eastAsia" w:ascii="方正小标宋简体" w:eastAsia="方正小标宋简体"/>
          <w:spacing w:val="-4"/>
          <w:sz w:val="42"/>
          <w:szCs w:val="4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为加快推进调水工程标准化创建工作，根据广西实际，</w:t>
      </w:r>
      <w:r>
        <w:rPr>
          <w:rFonts w:hint="eastAsia" w:eastAsia="仿宋_GB2312" w:cs="Times New Roman"/>
          <w:color w:val="auto"/>
          <w:kern w:val="2"/>
          <w:sz w:val="32"/>
          <w:szCs w:val="32"/>
          <w:lang w:val="en-US" w:eastAsia="zh-CN" w:bidi="ar-SA"/>
        </w:rPr>
        <w:t>我厅</w:t>
      </w:r>
      <w:r>
        <w:rPr>
          <w:rFonts w:hint="eastAsia" w:ascii="Times New Roman" w:hAnsi="Times New Roman" w:eastAsia="仿宋_GB2312" w:cs="Times New Roman"/>
          <w:color w:val="auto"/>
          <w:kern w:val="2"/>
          <w:sz w:val="32"/>
          <w:szCs w:val="32"/>
          <w:lang w:val="en-US" w:eastAsia="zh-CN" w:bidi="ar-SA"/>
        </w:rPr>
        <w:t>制定</w:t>
      </w:r>
      <w:r>
        <w:rPr>
          <w:rFonts w:hint="eastAsia" w:eastAsia="仿宋_GB2312" w:cs="Times New Roman"/>
          <w:color w:val="auto"/>
          <w:kern w:val="2"/>
          <w:sz w:val="32"/>
          <w:szCs w:val="32"/>
          <w:lang w:val="en-US" w:eastAsia="zh-CN" w:bidi="ar-SA"/>
        </w:rPr>
        <w:t>了</w:t>
      </w:r>
      <w:r>
        <w:rPr>
          <w:rFonts w:hint="eastAsia" w:ascii="Times New Roman" w:hAnsi="Times New Roman" w:eastAsia="仿宋_GB2312" w:cs="Times New Roman"/>
          <w:color w:val="auto"/>
          <w:kern w:val="2"/>
          <w:sz w:val="32"/>
          <w:szCs w:val="32"/>
          <w:lang w:val="en-US" w:eastAsia="zh-CN" w:bidi="ar-SA"/>
        </w:rPr>
        <w:t>《广西调水工程标准化管理评价细则》（试行）</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val="en-US" w:eastAsia="zh-CN"/>
        </w:rPr>
        <w:t>评价细则</w:t>
      </w:r>
      <w:r>
        <w:rPr>
          <w:rFonts w:hint="default" w:ascii="Times New Roman" w:hAnsi="Times New Roman" w:eastAsia="仿宋_GB2312" w:cs="Times New Roman"/>
          <w:sz w:val="32"/>
          <w:szCs w:val="32"/>
        </w:rPr>
        <w:t>》</w:t>
      </w:r>
      <w:r>
        <w:rPr>
          <w:rFonts w:hint="eastAsia" w:eastAsia="仿宋_GB2312" w:cs="Times New Roman"/>
          <w:color w:val="auto"/>
          <w:kern w:val="2"/>
          <w:sz w:val="32"/>
          <w:szCs w:val="32"/>
          <w:lang w:val="en-US" w:eastAsia="zh-CN" w:bidi="ar-SA"/>
        </w:rPr>
        <w:t>），</w:t>
      </w:r>
      <w:bookmarkStart w:id="0" w:name="_GoBack"/>
      <w:bookmarkEnd w:id="0"/>
      <w:r>
        <w:rPr>
          <w:rFonts w:hint="eastAsia" w:eastAsia="仿宋_GB2312" w:cs="Times New Roman"/>
          <w:color w:val="auto"/>
          <w:kern w:val="2"/>
          <w:sz w:val="32"/>
          <w:szCs w:val="32"/>
          <w:lang w:val="en-US" w:eastAsia="zh-CN" w:bidi="ar-SA"/>
        </w:rPr>
        <w:t>现解读如下。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一、文件出台的必要性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党的十九大提出要加快水利基础设施网络建设，十九届五中全会对实施国家水网重大工程作出战略部署。党的二十大提出优化基础设施布局、结构、功能和系统集成，构建现代化基础设施体系。调水工程是国家水网的重要组成部分，提升工程运行管理能力和水平，推进管理规范化、智慧化、标准化，对加快构建国家水网、发挥水网运行整体效能意义重大。</w:t>
      </w:r>
    </w:p>
    <w:p>
      <w:pPr>
        <w:pStyle w:val="2"/>
        <w:keepNext w:val="0"/>
        <w:keepLines w:val="0"/>
        <w:pageBreakBefore w:val="0"/>
        <w:widowControl w:val="0"/>
        <w:kinsoku/>
        <w:wordWrap/>
        <w:overflowPunct/>
        <w:topLinePunct w:val="0"/>
        <w:autoSpaceDE/>
        <w:autoSpaceDN/>
        <w:bidi w:val="0"/>
        <w:adjustRightInd/>
        <w:snapToGrid/>
        <w:spacing w:line="600" w:lineRule="exact"/>
        <w:rPr>
          <w:rFonts w:hint="default" w:eastAsia="仿宋_GB2312"/>
          <w:lang w:val="en-US" w:eastAsia="zh-CN"/>
        </w:rPr>
      </w:pPr>
      <w:r>
        <w:rPr>
          <w:rFonts w:hint="eastAsia" w:ascii="Times New Roman" w:hAnsi="Times New Roman" w:eastAsia="仿宋_GB2312" w:cs="Times New Roman"/>
          <w:color w:val="auto"/>
          <w:kern w:val="2"/>
          <w:sz w:val="32"/>
          <w:szCs w:val="32"/>
          <w:lang w:val="en-US" w:eastAsia="zh-CN" w:bidi="ar-SA"/>
        </w:rPr>
        <w:t>水利部制定出台的《关于推进水利工程标准化管理的指导意见》（以下简称《指导意见》）和《水利工程标准化管理评价办法》（以下简称《评价办法》）将已建成运行的调水工程纳入适用范围。水利部办公厅印发《调水工程标准化评价标准》，《关于进一步做好调水工程标准化管理工作的通知》，要求</w:t>
      </w:r>
      <w:r>
        <w:rPr>
          <w:rFonts w:hint="default" w:ascii="Times New Roman" w:hAnsi="Times New Roman" w:eastAsia="仿宋_GB2312" w:cs="Times New Roman"/>
          <w:color w:val="auto"/>
          <w:sz w:val="32"/>
          <w:szCs w:val="32"/>
          <w:lang w:eastAsia="zh-CN"/>
        </w:rPr>
        <w:t>各省级水行政主管部门要加快制定省级调水工程标准化管理制度标准，印发本地区调水工程标准化管理评价细则及其评价标准</w:t>
      </w:r>
      <w:r>
        <w:rPr>
          <w:rFonts w:hint="eastAsia" w:ascii="Times New Roman" w:hAnsi="Times New Roman" w:eastAsia="仿宋_GB2312" w:cs="Times New Roman"/>
          <w:color w:val="auto"/>
          <w:sz w:val="32"/>
          <w:szCs w:val="32"/>
          <w:lang w:eastAsia="zh-CN"/>
        </w:rPr>
        <w:t>，确保</w:t>
      </w:r>
      <w:r>
        <w:rPr>
          <w:rFonts w:hint="eastAsia" w:ascii="Times New Roman" w:hAnsi="Times New Roman" w:eastAsia="仿宋_GB2312" w:cs="Times New Roman"/>
          <w:color w:val="auto"/>
          <w:sz w:val="32"/>
          <w:szCs w:val="32"/>
          <w:lang w:val="en-US" w:eastAsia="zh-CN"/>
        </w:rPr>
        <w:t>2025年底前大中型调水工程基本实现标准化管理、2030年底前大中小型调水工程全面实现标准化管理的要求</w:t>
      </w:r>
      <w:r>
        <w:rPr>
          <w:rFonts w:hint="eastAsia" w:ascii="Times New Roman" w:hAnsi="Times New Roman" w:eastAsia="黑体"/>
          <w:sz w:val="32"/>
          <w:szCs w:val="32"/>
          <w:highlight w:val="none"/>
          <w:lang w:val="en-US" w:eastAsia="zh-CN"/>
        </w:rPr>
        <w:t>。</w:t>
      </w:r>
      <w:r>
        <w:rPr>
          <w:rFonts w:hint="eastAsia" w:ascii="Times New Roman" w:hAnsi="Times New Roman" w:eastAsia="仿宋_GB2312" w:cs="Times New Roman"/>
          <w:color w:val="auto"/>
          <w:sz w:val="32"/>
          <w:szCs w:val="32"/>
          <w:lang w:val="en-US" w:eastAsia="zh-CN"/>
        </w:rPr>
        <w:t>为规范开展调水工程标准化管理评价工作，</w:t>
      </w:r>
      <w:r>
        <w:rPr>
          <w:rFonts w:hint="default" w:ascii="Times New Roman" w:hAnsi="Times New Roman" w:eastAsia="仿宋_GB2312" w:cs="Times New Roman"/>
          <w:sz w:val="32"/>
          <w:szCs w:val="32"/>
          <w:lang w:val="en-US" w:eastAsia="zh-CN"/>
        </w:rPr>
        <w:t>科学评价</w:t>
      </w:r>
      <w:r>
        <w:rPr>
          <w:rFonts w:hint="eastAsia" w:ascii="Times New Roman" w:hAnsi="Times New Roman" w:eastAsia="仿宋_GB2312" w:cs="Times New Roman"/>
          <w:sz w:val="32"/>
          <w:szCs w:val="32"/>
          <w:lang w:val="en-US" w:eastAsia="zh-CN"/>
        </w:rPr>
        <w:t>调水</w:t>
      </w:r>
      <w:r>
        <w:rPr>
          <w:rFonts w:hint="default" w:ascii="Times New Roman" w:hAnsi="Times New Roman" w:eastAsia="仿宋_GB2312" w:cs="Times New Roman"/>
          <w:sz w:val="32"/>
          <w:szCs w:val="32"/>
          <w:lang w:val="en-US" w:eastAsia="zh-CN"/>
        </w:rPr>
        <w:t>工程运行管理水平，确保工程运行安全和效益持续发挥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我</w:t>
      </w:r>
      <w:r>
        <w:rPr>
          <w:rFonts w:hint="eastAsia" w:ascii="Times New Roman" w:hAnsi="Times New Roman" w:eastAsia="仿宋_GB2312" w:cs="Times New Roman"/>
          <w:color w:val="auto"/>
          <w:sz w:val="32"/>
          <w:szCs w:val="32"/>
          <w:lang w:eastAsia="zh-CN"/>
        </w:rPr>
        <w:t>厅</w:t>
      </w:r>
      <w:r>
        <w:rPr>
          <w:rFonts w:hint="eastAsia" w:ascii="Times New Roman" w:hAnsi="Times New Roman" w:eastAsia="仿宋_GB2312" w:cs="Times New Roman"/>
          <w:color w:val="auto"/>
          <w:sz w:val="32"/>
          <w:szCs w:val="32"/>
          <w:lang w:val="en-US" w:eastAsia="zh-CN"/>
        </w:rPr>
        <w:t>制定出台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评价细则</w:t>
      </w:r>
      <w:r>
        <w:rPr>
          <w:rFonts w:hint="default" w:ascii="Times New Roman" w:hAnsi="Times New Roman" w:eastAsia="仿宋_GB2312" w:cs="Times New Roman"/>
          <w:sz w:val="32"/>
          <w:szCs w:val="32"/>
        </w:rPr>
        <w:t>》</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sz w:val="32"/>
          <w:szCs w:val="32"/>
          <w:lang w:val="en-US" w:eastAsia="zh-CN"/>
        </w:rPr>
        <w:t>是十分必要的。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二、主要内容解读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eastAsia="仿宋_GB2312"/>
          <w:sz w:val="32"/>
          <w:szCs w:val="32"/>
          <w:highlight w:val="none"/>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评价细则</w:t>
      </w:r>
      <w:r>
        <w:rPr>
          <w:rFonts w:hint="default" w:ascii="Times New Roman" w:hAnsi="Times New Roman" w:eastAsia="仿宋_GB2312" w:cs="Times New Roman"/>
          <w:sz w:val="32"/>
          <w:szCs w:val="32"/>
        </w:rPr>
        <w:t>》</w:t>
      </w:r>
      <w:r>
        <w:rPr>
          <w:rFonts w:hint="eastAsia" w:eastAsia="仿宋_GB2312" w:cs="Times New Roman"/>
          <w:color w:val="auto"/>
          <w:kern w:val="2"/>
          <w:sz w:val="32"/>
          <w:szCs w:val="32"/>
          <w:lang w:val="en-US" w:eastAsia="zh-CN" w:bidi="ar-SA"/>
        </w:rPr>
        <w:t>）</w:t>
      </w:r>
      <w:r>
        <w:rPr>
          <w:rFonts w:hint="eastAsia" w:eastAsia="仿宋_GB2312"/>
          <w:sz w:val="32"/>
          <w:szCs w:val="32"/>
          <w:highlight w:val="none"/>
          <w:lang w:val="en-US" w:eastAsia="zh-CN"/>
        </w:rPr>
        <w:t>共分为五章十六条。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eastAsia="仿宋_GB2312"/>
          <w:sz w:val="32"/>
          <w:szCs w:val="32"/>
          <w:highlight w:val="none"/>
          <w:lang w:val="en-US" w:eastAsia="zh-CN"/>
        </w:rPr>
      </w:pPr>
      <w:r>
        <w:rPr>
          <w:rFonts w:hint="eastAsia" w:eastAsia="仿宋_GB2312"/>
          <w:sz w:val="32"/>
          <w:szCs w:val="32"/>
          <w:highlight w:val="none"/>
          <w:lang w:val="en-US" w:eastAsia="zh-CN"/>
        </w:rPr>
        <w:t>第一章总则</w:t>
      </w:r>
      <w:r>
        <w:rPr>
          <w:rFonts w:hint="default" w:eastAsia="仿宋_GB2312"/>
          <w:sz w:val="32"/>
          <w:szCs w:val="32"/>
          <w:highlight w:val="none"/>
          <w:lang w:eastAsia="zh-CN"/>
        </w:rPr>
        <w:t>：</w:t>
      </w:r>
      <w:r>
        <w:rPr>
          <w:rFonts w:hint="eastAsia" w:eastAsia="仿宋_GB2312"/>
          <w:sz w:val="32"/>
          <w:szCs w:val="32"/>
          <w:highlight w:val="none"/>
          <w:lang w:val="en-US" w:eastAsia="zh-CN"/>
        </w:rPr>
        <w:t>第一至第三条</w:t>
      </w:r>
      <w:r>
        <w:rPr>
          <w:rFonts w:hint="default" w:eastAsia="仿宋_GB2312"/>
          <w:sz w:val="32"/>
          <w:szCs w:val="32"/>
          <w:highlight w:val="none"/>
          <w:lang w:eastAsia="zh-CN"/>
        </w:rPr>
        <w:t>，</w:t>
      </w:r>
      <w:r>
        <w:rPr>
          <w:rFonts w:hint="eastAsia" w:eastAsia="仿宋_GB2312"/>
          <w:sz w:val="32"/>
          <w:szCs w:val="32"/>
          <w:highlight w:val="none"/>
          <w:lang w:val="en-US" w:eastAsia="zh-CN"/>
        </w:rPr>
        <w:t>主要是明确</w:t>
      </w:r>
      <w:r>
        <w:rPr>
          <w:rFonts w:hint="default" w:eastAsia="仿宋_GB2312"/>
          <w:sz w:val="32"/>
          <w:szCs w:val="32"/>
          <w:highlight w:val="none"/>
          <w:lang w:eastAsia="zh-CN"/>
        </w:rPr>
        <w:t>制定本细则的</w:t>
      </w:r>
      <w:r>
        <w:rPr>
          <w:rFonts w:hint="eastAsia" w:eastAsia="仿宋_GB2312"/>
          <w:sz w:val="32"/>
          <w:szCs w:val="32"/>
          <w:highlight w:val="none"/>
          <w:lang w:val="en-US" w:eastAsia="zh-CN"/>
        </w:rPr>
        <w:t>目的背景和制定依据</w:t>
      </w:r>
      <w:r>
        <w:rPr>
          <w:rFonts w:hint="default" w:eastAsia="仿宋_GB2312"/>
          <w:sz w:val="32"/>
          <w:szCs w:val="32"/>
          <w:highlight w:val="none"/>
          <w:lang w:eastAsia="zh-CN"/>
        </w:rPr>
        <w:t>及</w:t>
      </w:r>
      <w:r>
        <w:rPr>
          <w:rFonts w:hint="eastAsia" w:eastAsia="仿宋_GB2312"/>
          <w:sz w:val="32"/>
          <w:szCs w:val="32"/>
          <w:highlight w:val="none"/>
          <w:lang w:val="en-US" w:eastAsia="zh-CN"/>
        </w:rPr>
        <w:t>适用范围。</w:t>
      </w:r>
      <w:r>
        <w:rPr>
          <w:rFonts w:hint="default" w:ascii="Times New Roman" w:hAnsi="Times New Roman" w:eastAsia="仿宋_GB2312" w:cs="Times New Roman"/>
          <w:color w:val="auto"/>
          <w:sz w:val="32"/>
          <w:szCs w:val="32"/>
          <w:highlight w:val="none"/>
          <w:u w:val="none"/>
        </w:rPr>
        <w:t>本</w:t>
      </w:r>
      <w:r>
        <w:rPr>
          <w:rFonts w:hint="default" w:ascii="Times New Roman" w:hAnsi="Times New Roman" w:eastAsia="仿宋_GB2312" w:cs="Times New Roman"/>
          <w:color w:val="auto"/>
          <w:sz w:val="32"/>
          <w:szCs w:val="32"/>
          <w:highlight w:val="none"/>
          <w:u w:val="none"/>
          <w:lang w:val="en-US" w:eastAsia="zh-CN"/>
        </w:rPr>
        <w:t>细则</w:t>
      </w:r>
      <w:r>
        <w:rPr>
          <w:rFonts w:hint="default" w:ascii="Times New Roman" w:hAnsi="Times New Roman" w:eastAsia="仿宋_GB2312" w:cs="Times New Roman"/>
          <w:color w:val="auto"/>
          <w:sz w:val="32"/>
          <w:szCs w:val="32"/>
          <w:highlight w:val="none"/>
          <w:u w:val="none"/>
        </w:rPr>
        <w:t>适用</w:t>
      </w:r>
      <w:r>
        <w:rPr>
          <w:rFonts w:hint="default" w:ascii="Times New Roman" w:hAnsi="Times New Roman" w:eastAsia="仿宋_GB2312" w:cs="Times New Roman"/>
          <w:color w:val="auto"/>
          <w:sz w:val="32"/>
          <w:szCs w:val="32"/>
          <w:highlight w:val="none"/>
          <w:u w:val="none"/>
          <w:lang w:val="en-US" w:eastAsia="zh-CN"/>
        </w:rPr>
        <w:t>于已建成并交付运行，归口</w:t>
      </w:r>
      <w:r>
        <w:rPr>
          <w:rFonts w:hint="eastAsia" w:ascii="Times New Roman" w:hAnsi="Times New Roman" w:eastAsia="仿宋_GB2312" w:cs="Times New Roman"/>
          <w:color w:val="auto"/>
          <w:sz w:val="32"/>
          <w:szCs w:val="32"/>
          <w:highlight w:val="none"/>
          <w:u w:val="none"/>
          <w:lang w:val="en-US" w:eastAsia="zh-CN"/>
        </w:rPr>
        <w:t>为自治区</w:t>
      </w:r>
      <w:r>
        <w:rPr>
          <w:rFonts w:hint="default" w:ascii="Times New Roman" w:hAnsi="Times New Roman" w:eastAsia="仿宋_GB2312" w:cs="Times New Roman"/>
          <w:color w:val="auto"/>
          <w:sz w:val="32"/>
          <w:szCs w:val="32"/>
          <w:highlight w:val="none"/>
          <w:u w:val="none"/>
          <w:lang w:val="en-US" w:eastAsia="zh-CN"/>
        </w:rPr>
        <w:t>各级水行政主管部门管理，由</w:t>
      </w:r>
      <w:r>
        <w:rPr>
          <w:rFonts w:hint="eastAsia" w:ascii="Times New Roman" w:hAnsi="Times New Roman" w:eastAsia="仿宋_GB2312" w:cs="Times New Roman"/>
          <w:color w:val="auto"/>
          <w:sz w:val="32"/>
          <w:szCs w:val="32"/>
          <w:highlight w:val="none"/>
          <w:u w:val="none"/>
          <w:lang w:val="en-US" w:eastAsia="zh-CN"/>
        </w:rPr>
        <w:t>调水</w:t>
      </w:r>
      <w:r>
        <w:rPr>
          <w:rFonts w:hint="default" w:ascii="Times New Roman" w:hAnsi="Times New Roman" w:eastAsia="仿宋_GB2312" w:cs="Times New Roman"/>
          <w:color w:val="auto"/>
          <w:sz w:val="32"/>
          <w:szCs w:val="32"/>
          <w:highlight w:val="none"/>
          <w:u w:val="none"/>
          <w:lang w:val="en-US" w:eastAsia="zh-CN"/>
        </w:rPr>
        <w:t>工程管理单位承担具体管理任务</w:t>
      </w:r>
      <w:r>
        <w:rPr>
          <w:rFonts w:hint="eastAsia" w:ascii="Times New Roman" w:hAnsi="Times New Roman" w:eastAsia="仿宋_GB2312" w:cs="Times New Roman"/>
          <w:color w:val="auto"/>
          <w:sz w:val="32"/>
          <w:szCs w:val="32"/>
          <w:lang w:val="en-US" w:eastAsia="zh-CN"/>
        </w:rPr>
        <w:t>的大中型调水工程</w:t>
      </w:r>
      <w:r>
        <w:rPr>
          <w:rFonts w:hint="default" w:ascii="Times New Roman" w:hAnsi="Times New Roman" w:eastAsia="仿宋_GB2312" w:cs="Times New Roman"/>
          <w:color w:val="auto"/>
          <w:sz w:val="32"/>
          <w:szCs w:val="32"/>
          <w:highlight w:val="none"/>
          <w:u w:val="none"/>
          <w:lang w:val="en-US" w:eastAsia="zh-CN"/>
        </w:rPr>
        <w:t>的标准化管理评价工作</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调水工程为大中型</w:t>
      </w:r>
      <w:r>
        <w:rPr>
          <w:rFonts w:hint="default" w:ascii="Times New Roman" w:hAnsi="Times New Roman" w:eastAsia="仿宋_GB2312" w:cs="Times New Roman"/>
          <w:color w:val="auto"/>
          <w:sz w:val="32"/>
          <w:szCs w:val="32"/>
          <w:lang w:val="en-US" w:eastAsia="zh-CN"/>
        </w:rPr>
        <w:t>灌区</w:t>
      </w:r>
      <w:r>
        <w:rPr>
          <w:rFonts w:hint="eastAsia" w:ascii="Times New Roman" w:hAnsi="Times New Roman" w:eastAsia="仿宋_GB2312" w:cs="Times New Roman"/>
          <w:color w:val="auto"/>
          <w:sz w:val="32"/>
          <w:szCs w:val="32"/>
          <w:lang w:val="en-US" w:eastAsia="zh-CN"/>
        </w:rPr>
        <w:t>工程的按照大中型灌区工程标准化管理标准开展创建和评价</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小型</w:t>
      </w:r>
      <w:r>
        <w:rPr>
          <w:rFonts w:hint="eastAsia" w:ascii="Times New Roman" w:hAnsi="Times New Roman" w:eastAsia="仿宋_GB2312" w:cs="Times New Roman"/>
          <w:color w:val="auto"/>
          <w:sz w:val="32"/>
          <w:szCs w:val="32"/>
          <w:lang w:val="en-US" w:eastAsia="zh-CN"/>
        </w:rPr>
        <w:t>及其他</w:t>
      </w:r>
      <w:r>
        <w:rPr>
          <w:rFonts w:hint="default" w:ascii="Times New Roman" w:hAnsi="Times New Roman" w:eastAsia="仿宋_GB2312" w:cs="Times New Roman"/>
          <w:color w:val="auto"/>
          <w:sz w:val="32"/>
          <w:szCs w:val="32"/>
          <w:lang w:val="en-US" w:eastAsia="zh-CN"/>
        </w:rPr>
        <w:t>调水工程</w:t>
      </w:r>
      <w:r>
        <w:rPr>
          <w:rFonts w:hint="eastAsia" w:ascii="Times New Roman" w:hAnsi="Times New Roman" w:eastAsia="仿宋_GB2312" w:cs="Times New Roman"/>
          <w:color w:val="auto"/>
          <w:sz w:val="32"/>
          <w:szCs w:val="32"/>
          <w:lang w:val="en-US" w:eastAsia="zh-CN"/>
        </w:rPr>
        <w:t>可</w:t>
      </w:r>
      <w:r>
        <w:rPr>
          <w:rFonts w:hint="default" w:ascii="Times New Roman" w:hAnsi="Times New Roman" w:eastAsia="仿宋_GB2312" w:cs="Times New Roman"/>
          <w:color w:val="auto"/>
          <w:sz w:val="32"/>
          <w:szCs w:val="32"/>
          <w:lang w:val="en-US" w:eastAsia="zh-CN"/>
        </w:rPr>
        <w:t>参照执行。</w:t>
      </w:r>
      <w:r>
        <w:rPr>
          <w:rFonts w:hint="eastAsia" w:eastAsia="仿宋_GB2312" w:cs="Times New Roman"/>
          <w:color w:val="auto"/>
          <w:sz w:val="32"/>
          <w:szCs w:val="32"/>
          <w:lang w:val="en-US" w:eastAsia="zh-CN"/>
        </w:rPr>
        <w:t>明确由</w:t>
      </w:r>
      <w:r>
        <w:rPr>
          <w:rFonts w:hint="eastAsia" w:ascii="Times New Roman" w:hAnsi="Times New Roman" w:eastAsia="仿宋_GB2312" w:cs="Times New Roman"/>
          <w:b w:val="0"/>
          <w:bCs/>
          <w:color w:val="auto"/>
          <w:sz w:val="32"/>
          <w:szCs w:val="32"/>
          <w:highlight w:val="none"/>
          <w:u w:val="none"/>
          <w:lang w:val="en-US" w:eastAsia="zh-CN"/>
        </w:rPr>
        <w:t>自治区、市两级水行政主管部门</w:t>
      </w:r>
      <w:r>
        <w:rPr>
          <w:rFonts w:hint="eastAsia" w:eastAsia="仿宋_GB2312"/>
          <w:sz w:val="32"/>
          <w:szCs w:val="32"/>
          <w:highlight w:val="none"/>
          <w:lang w:val="en-US" w:eastAsia="zh-CN"/>
        </w:rPr>
        <w:t>分级负责评价工作。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highlight w:val="none"/>
          <w:lang w:val="en-US" w:eastAsia="zh-CN"/>
        </w:rPr>
      </w:pPr>
      <w:r>
        <w:rPr>
          <w:rFonts w:hint="eastAsia" w:eastAsia="仿宋_GB2312"/>
          <w:sz w:val="32"/>
          <w:szCs w:val="32"/>
          <w:highlight w:val="none"/>
          <w:lang w:val="en-US" w:eastAsia="zh-CN"/>
        </w:rPr>
        <w:t>第二章评价内容与标准</w:t>
      </w:r>
      <w:r>
        <w:rPr>
          <w:rFonts w:hint="default" w:eastAsia="仿宋_GB2312"/>
          <w:sz w:val="32"/>
          <w:szCs w:val="32"/>
          <w:highlight w:val="none"/>
          <w:lang w:eastAsia="zh-CN"/>
        </w:rPr>
        <w:t>：</w:t>
      </w:r>
      <w:r>
        <w:rPr>
          <w:rFonts w:hint="eastAsia" w:eastAsia="仿宋_GB2312"/>
          <w:sz w:val="32"/>
          <w:szCs w:val="32"/>
          <w:highlight w:val="none"/>
          <w:lang w:val="en-US" w:eastAsia="zh-CN"/>
        </w:rPr>
        <w:t>第四至第七条</w:t>
      </w:r>
      <w:r>
        <w:rPr>
          <w:rFonts w:hint="default" w:eastAsia="仿宋_GB2312"/>
          <w:sz w:val="32"/>
          <w:szCs w:val="32"/>
          <w:highlight w:val="none"/>
          <w:lang w:eastAsia="zh-CN"/>
        </w:rPr>
        <w:t>，</w:t>
      </w:r>
      <w:r>
        <w:rPr>
          <w:rFonts w:hint="eastAsia" w:eastAsia="仿宋_GB2312"/>
          <w:sz w:val="32"/>
          <w:szCs w:val="32"/>
          <w:highlight w:val="none"/>
          <w:lang w:val="en-US" w:eastAsia="zh-CN"/>
        </w:rPr>
        <w:t>主要明确标准化评价的内容，包括整体评价和单项工程评价，</w:t>
      </w:r>
      <w:r>
        <w:rPr>
          <w:rFonts w:hint="eastAsia" w:ascii="Times New Roman" w:hAnsi="Times New Roman" w:eastAsia="仿宋_GB2312" w:cs="Times New Roman"/>
          <w:color w:val="auto"/>
          <w:sz w:val="32"/>
          <w:szCs w:val="32"/>
          <w:lang w:val="en-US" w:eastAsia="zh-CN"/>
        </w:rPr>
        <w:t>分别执行相应的评价标准。</w:t>
      </w:r>
      <w:r>
        <w:rPr>
          <w:rFonts w:hint="eastAsia" w:eastAsia="仿宋_GB2312"/>
          <w:sz w:val="32"/>
          <w:szCs w:val="32"/>
          <w:highlight w:val="none"/>
          <w:lang w:val="en-US" w:eastAsia="zh-CN"/>
        </w:rPr>
        <w:t>标准化评价的申报条件及达标分数要求，整体</w:t>
      </w:r>
      <w:r>
        <w:rPr>
          <w:rFonts w:hint="default" w:ascii="Times New Roman" w:hAnsi="Times New Roman" w:eastAsia="仿宋_GB2312" w:cs="Times New Roman"/>
          <w:kern w:val="0"/>
          <w:sz w:val="32"/>
          <w:szCs w:val="32"/>
        </w:rPr>
        <w:t>评价得分</w:t>
      </w:r>
      <w:r>
        <w:rPr>
          <w:rFonts w:hint="default" w:ascii="Times New Roman" w:hAnsi="Times New Roman" w:eastAsia="仿宋_GB2312" w:cs="Times New Roman"/>
          <w:sz w:val="32"/>
          <w:szCs w:val="32"/>
        </w:rPr>
        <w:t>达到7</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0分（含）</w:t>
      </w:r>
      <w:r>
        <w:rPr>
          <w:rFonts w:hint="eastAsia" w:eastAsia="仿宋_GB2312" w:cs="Times New Roman"/>
          <w:sz w:val="32"/>
          <w:szCs w:val="32"/>
          <w:lang w:val="en-US" w:eastAsia="zh-CN"/>
        </w:rPr>
        <w:t>以上</w:t>
      </w:r>
      <w:r>
        <w:rPr>
          <w:rFonts w:hint="default" w:ascii="Times New Roman" w:hAnsi="Times New Roman" w:eastAsia="仿宋_GB2312" w:cs="Times New Roman"/>
          <w:sz w:val="32"/>
          <w:szCs w:val="32"/>
        </w:rPr>
        <w:t>，且</w:t>
      </w:r>
      <w:r>
        <w:rPr>
          <w:rFonts w:hint="default" w:ascii="Times New Roman" w:hAnsi="Times New Roman" w:eastAsia="仿宋_GB2312" w:cs="Times New Roman"/>
          <w:sz w:val="32"/>
          <w:szCs w:val="32"/>
          <w:u w:val="none"/>
          <w:lang w:eastAsia="zh-CN"/>
        </w:rPr>
        <w:t>主要</w:t>
      </w:r>
      <w:r>
        <w:rPr>
          <w:rFonts w:hint="default" w:ascii="Times New Roman" w:hAnsi="Times New Roman" w:eastAsia="仿宋_GB2312" w:cs="Times New Roman"/>
          <w:sz w:val="32"/>
          <w:szCs w:val="32"/>
          <w:u w:val="none"/>
        </w:rPr>
        <w:t>类</w:t>
      </w:r>
      <w:r>
        <w:rPr>
          <w:rFonts w:hint="default" w:ascii="Times New Roman" w:hAnsi="Times New Roman" w:eastAsia="仿宋_GB2312" w:cs="Times New Roman"/>
          <w:sz w:val="32"/>
          <w:szCs w:val="32"/>
          <w:u w:val="none"/>
          <w:lang w:eastAsia="zh-CN"/>
        </w:rPr>
        <w:t>别评价</w:t>
      </w:r>
      <w:r>
        <w:rPr>
          <w:rFonts w:hint="default" w:ascii="Times New Roman" w:hAnsi="Times New Roman" w:eastAsia="仿宋_GB2312" w:cs="Times New Roman"/>
          <w:sz w:val="32"/>
          <w:szCs w:val="32"/>
        </w:rPr>
        <w:t>得分均不低于该类总分的70%</w:t>
      </w:r>
      <w:r>
        <w:rPr>
          <w:rFonts w:hint="eastAsia" w:eastAsia="仿宋_GB2312" w:cs="Times New Roman"/>
          <w:kern w:val="0"/>
          <w:sz w:val="32"/>
          <w:szCs w:val="32"/>
          <w:lang w:eastAsia="zh-CN"/>
        </w:rPr>
        <w:t>，</w:t>
      </w:r>
      <w:r>
        <w:rPr>
          <w:rFonts w:hint="eastAsia" w:eastAsia="仿宋_GB2312" w:cs="Times New Roman"/>
          <w:sz w:val="32"/>
          <w:szCs w:val="32"/>
          <w:lang w:val="en-US" w:eastAsia="zh-CN"/>
        </w:rPr>
        <w:t>评为</w:t>
      </w:r>
      <w:r>
        <w:rPr>
          <w:rFonts w:hint="eastAsia" w:eastAsia="仿宋_GB2312" w:cs="Times New Roman"/>
          <w:kern w:val="0"/>
          <w:sz w:val="32"/>
          <w:szCs w:val="32"/>
          <w:lang w:val="en-US" w:eastAsia="zh-CN"/>
        </w:rPr>
        <w:t>达标工程</w:t>
      </w:r>
      <w:r>
        <w:rPr>
          <w:rFonts w:hint="eastAsia" w:eastAsia="仿宋_GB2312"/>
          <w:sz w:val="32"/>
          <w:szCs w:val="32"/>
          <w:highlight w:val="none"/>
          <w:lang w:val="en-US" w:eastAsia="zh-CN"/>
        </w:rPr>
        <w:t>。整体</w:t>
      </w:r>
      <w:r>
        <w:rPr>
          <w:rFonts w:hint="default" w:ascii="Times New Roman" w:hAnsi="Times New Roman" w:eastAsia="仿宋_GB2312" w:cs="Times New Roman"/>
          <w:kern w:val="0"/>
          <w:sz w:val="32"/>
          <w:szCs w:val="32"/>
        </w:rPr>
        <w:t>评价得分低于</w:t>
      </w:r>
      <w:r>
        <w:rPr>
          <w:rFonts w:hint="default" w:ascii="Times New Roman" w:hAnsi="Times New Roman" w:eastAsia="仿宋_GB2312" w:cs="Times New Roman"/>
          <w:kern w:val="0"/>
          <w:sz w:val="32"/>
          <w:szCs w:val="32"/>
          <w:lang w:val="en-US" w:eastAsia="zh-CN"/>
        </w:rPr>
        <w:t>7</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分，或</w:t>
      </w:r>
      <w:r>
        <w:rPr>
          <w:rFonts w:hint="default" w:ascii="Times New Roman" w:hAnsi="Times New Roman" w:eastAsia="仿宋_GB2312" w:cs="Times New Roman"/>
          <w:sz w:val="32"/>
          <w:szCs w:val="32"/>
          <w:u w:val="none"/>
          <w:lang w:eastAsia="zh-CN"/>
        </w:rPr>
        <w:t>主要</w:t>
      </w:r>
      <w:r>
        <w:rPr>
          <w:rFonts w:hint="default" w:ascii="Times New Roman" w:hAnsi="Times New Roman" w:eastAsia="仿宋_GB2312" w:cs="Times New Roman"/>
          <w:sz w:val="32"/>
          <w:szCs w:val="32"/>
          <w:u w:val="none"/>
        </w:rPr>
        <w:t>类</w:t>
      </w:r>
      <w:r>
        <w:rPr>
          <w:rFonts w:hint="default" w:ascii="Times New Roman" w:hAnsi="Times New Roman" w:eastAsia="仿宋_GB2312" w:cs="Times New Roman"/>
          <w:sz w:val="32"/>
          <w:szCs w:val="32"/>
          <w:u w:val="none"/>
          <w:lang w:eastAsia="zh-CN"/>
        </w:rPr>
        <w:t>别评价</w:t>
      </w:r>
      <w:r>
        <w:rPr>
          <w:rFonts w:hint="default" w:ascii="Times New Roman" w:hAnsi="Times New Roman" w:eastAsia="仿宋_GB2312" w:cs="Times New Roman"/>
          <w:sz w:val="32"/>
          <w:szCs w:val="32"/>
        </w:rPr>
        <w:t>得分低于该类总分的70%</w:t>
      </w:r>
      <w:r>
        <w:rPr>
          <w:rFonts w:hint="eastAsia" w:eastAsia="仿宋_GB2312" w:cs="Times New Roman"/>
          <w:sz w:val="32"/>
          <w:szCs w:val="32"/>
          <w:lang w:eastAsia="zh-CN"/>
        </w:rPr>
        <w:t>，</w:t>
      </w:r>
      <w:r>
        <w:rPr>
          <w:rFonts w:hint="eastAsia" w:eastAsia="仿宋_GB2312" w:cs="Times New Roman"/>
          <w:sz w:val="32"/>
          <w:szCs w:val="32"/>
          <w:lang w:val="en-US" w:eastAsia="zh-CN"/>
        </w:rPr>
        <w:t>评为</w:t>
      </w:r>
      <w:r>
        <w:rPr>
          <w:rFonts w:hint="default" w:ascii="Times New Roman" w:hAnsi="Times New Roman" w:eastAsia="仿宋_GB2312" w:cs="Times New Roman"/>
          <w:kern w:val="0"/>
          <w:sz w:val="32"/>
          <w:szCs w:val="32"/>
        </w:rPr>
        <w:t>不达标工程</w:t>
      </w:r>
      <w:r>
        <w:rPr>
          <w:rFonts w:hint="eastAsia" w:eastAsia="仿宋_GB2312" w:cs="Times New Roman"/>
          <w:kern w:val="0"/>
          <w:sz w:val="32"/>
          <w:szCs w:val="32"/>
          <w:lang w:eastAsia="zh-CN"/>
        </w:rPr>
        <w:t>。</w:t>
      </w:r>
      <w:r>
        <w:rPr>
          <w:rFonts w:hint="eastAsia" w:ascii="Times New Roman" w:hAnsi="Times New Roman" w:eastAsia="仿宋_GB2312" w:cs="Times New Roman"/>
          <w:sz w:val="32"/>
          <w:szCs w:val="32"/>
          <w:lang w:val="en-US" w:eastAsia="zh-CN"/>
        </w:rPr>
        <w:t>整体</w:t>
      </w:r>
      <w:r>
        <w:rPr>
          <w:rFonts w:hint="default" w:ascii="Times New Roman" w:hAnsi="Times New Roman" w:eastAsia="仿宋_GB2312" w:cs="Times New Roman"/>
          <w:sz w:val="32"/>
          <w:szCs w:val="32"/>
        </w:rPr>
        <w:t>评价总分达到</w:t>
      </w:r>
      <w:r>
        <w:rPr>
          <w:rFonts w:hint="eastAsia" w:ascii="Times New Roman" w:hAnsi="Times New Roman" w:eastAsia="仿宋_GB2312" w:cs="Times New Roman"/>
          <w:sz w:val="32"/>
          <w:szCs w:val="32"/>
          <w:lang w:val="en-US" w:eastAsia="zh-CN"/>
        </w:rPr>
        <w:t>920</w:t>
      </w:r>
      <w:r>
        <w:rPr>
          <w:rFonts w:hint="default"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（含）</w:t>
      </w:r>
      <w:r>
        <w:rPr>
          <w:rFonts w:hint="default" w:ascii="Times New Roman" w:hAnsi="Times New Roman" w:eastAsia="仿宋_GB2312" w:cs="Times New Roman"/>
          <w:sz w:val="32"/>
          <w:szCs w:val="32"/>
        </w:rPr>
        <w:t>以上，且</w:t>
      </w:r>
      <w:r>
        <w:rPr>
          <w:rFonts w:hint="eastAsia"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类别评价得分不低于该类别总分的</w:t>
      </w:r>
      <w:r>
        <w:rPr>
          <w:rFonts w:hint="eastAsia"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的</w:t>
      </w:r>
      <w:r>
        <w:rPr>
          <w:rFonts w:hint="eastAsia" w:eastAsia="仿宋_GB2312" w:cs="Times New Roman"/>
          <w:b w:val="0"/>
          <w:bCs w:val="0"/>
          <w:color w:val="auto"/>
          <w:sz w:val="32"/>
          <w:szCs w:val="32"/>
          <w:lang w:val="en-US" w:eastAsia="zh-CN"/>
        </w:rPr>
        <w:t>，</w:t>
      </w:r>
      <w:r>
        <w:rPr>
          <w:rFonts w:hint="eastAsia" w:ascii="Times New Roman" w:hAnsi="Times New Roman" w:eastAsia="仿宋_GB2312" w:cs="Times New Roman"/>
          <w:color w:val="auto"/>
          <w:sz w:val="32"/>
          <w:szCs w:val="32"/>
          <w:lang w:val="en-US" w:eastAsia="zh-CN"/>
        </w:rPr>
        <w:t>由</w:t>
      </w:r>
      <w:r>
        <w:rPr>
          <w:rFonts w:hint="eastAsia" w:ascii="Times New Roman" w:hAnsi="Times New Roman" w:eastAsia="仿宋_GB2312" w:cs="Times New Roman"/>
          <w:color w:val="auto"/>
          <w:sz w:val="32"/>
          <w:szCs w:val="32"/>
          <w:lang w:eastAsia="zh-CN"/>
        </w:rPr>
        <w:t>自治区水利厅初评</w:t>
      </w:r>
      <w:r>
        <w:rPr>
          <w:rFonts w:hint="eastAsia" w:ascii="Times New Roman" w:hAnsi="Times New Roman" w:eastAsia="仿宋_GB2312" w:cs="Times New Roman"/>
          <w:color w:val="auto"/>
          <w:sz w:val="32"/>
          <w:szCs w:val="32"/>
          <w:lang w:val="en-US" w:eastAsia="zh-CN"/>
        </w:rPr>
        <w:t>符合水利部评价条件的，</w:t>
      </w:r>
      <w:r>
        <w:rPr>
          <w:rFonts w:hint="eastAsia" w:ascii="Times New Roman" w:hAnsi="Times New Roman" w:eastAsia="仿宋_GB2312" w:cs="Times New Roman"/>
          <w:color w:val="auto"/>
          <w:sz w:val="32"/>
          <w:szCs w:val="32"/>
          <w:lang w:eastAsia="zh-CN"/>
        </w:rPr>
        <w:t>推荐</w:t>
      </w:r>
      <w:r>
        <w:rPr>
          <w:rFonts w:hint="eastAsia" w:ascii="Times New Roman" w:hAnsi="Times New Roman" w:eastAsia="仿宋_GB2312" w:cs="Times New Roman"/>
          <w:color w:val="auto"/>
          <w:sz w:val="32"/>
          <w:szCs w:val="32"/>
          <w:lang w:val="en-US" w:eastAsia="zh-CN"/>
        </w:rPr>
        <w:t>申报</w:t>
      </w:r>
      <w:r>
        <w:rPr>
          <w:rFonts w:hint="eastAsia" w:ascii="Times New Roman" w:hAnsi="Times New Roman" w:eastAsia="仿宋_GB2312" w:cs="Times New Roman"/>
          <w:color w:val="auto"/>
          <w:sz w:val="32"/>
          <w:szCs w:val="32"/>
          <w:lang w:eastAsia="zh-CN"/>
        </w:rPr>
        <w:t>水利部评价</w:t>
      </w:r>
      <w:r>
        <w:rPr>
          <w:rFonts w:hint="eastAsia" w:eastAsia="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highlight w:val="none"/>
          <w:lang w:eastAsia="zh-CN"/>
        </w:rPr>
      </w:pPr>
      <w:r>
        <w:rPr>
          <w:rFonts w:hint="eastAsia" w:eastAsia="仿宋_GB2312"/>
          <w:sz w:val="32"/>
          <w:szCs w:val="32"/>
          <w:highlight w:val="none"/>
          <w:lang w:val="en-US" w:eastAsia="zh-CN"/>
        </w:rPr>
        <w:t>第三章年度评价</w:t>
      </w:r>
      <w:r>
        <w:rPr>
          <w:rFonts w:hint="default" w:eastAsia="仿宋_GB2312"/>
          <w:sz w:val="32"/>
          <w:szCs w:val="32"/>
          <w:highlight w:val="none"/>
          <w:lang w:eastAsia="zh-CN"/>
        </w:rPr>
        <w:t>：第</w:t>
      </w:r>
      <w:r>
        <w:rPr>
          <w:rFonts w:hint="eastAsia" w:eastAsia="仿宋_GB2312"/>
          <w:sz w:val="32"/>
          <w:szCs w:val="32"/>
          <w:highlight w:val="none"/>
          <w:lang w:val="en-US" w:eastAsia="zh-CN"/>
        </w:rPr>
        <w:t>八</w:t>
      </w:r>
      <w:r>
        <w:rPr>
          <w:rFonts w:hint="default" w:eastAsia="仿宋_GB2312"/>
          <w:sz w:val="32"/>
          <w:szCs w:val="32"/>
          <w:highlight w:val="none"/>
          <w:lang w:eastAsia="zh-CN"/>
        </w:rPr>
        <w:t>至</w:t>
      </w:r>
      <w:r>
        <w:rPr>
          <w:rFonts w:hint="eastAsia" w:eastAsia="仿宋_GB2312"/>
          <w:sz w:val="32"/>
          <w:szCs w:val="32"/>
          <w:highlight w:val="none"/>
          <w:lang w:val="en-US" w:eastAsia="zh-CN"/>
        </w:rPr>
        <w:t>第十条</w:t>
      </w:r>
      <w:r>
        <w:rPr>
          <w:rFonts w:hint="default" w:eastAsia="仿宋_GB2312"/>
          <w:sz w:val="32"/>
          <w:szCs w:val="32"/>
          <w:highlight w:val="none"/>
          <w:lang w:eastAsia="zh-CN"/>
        </w:rPr>
        <w:t>，主要</w:t>
      </w:r>
      <w:r>
        <w:rPr>
          <w:rFonts w:hint="eastAsia" w:eastAsia="仿宋_GB2312"/>
          <w:sz w:val="32"/>
          <w:szCs w:val="32"/>
          <w:highlight w:val="none"/>
          <w:lang w:val="en-US" w:eastAsia="zh-CN"/>
        </w:rPr>
        <w:t>明确标准化评价的程序</w:t>
      </w:r>
      <w:r>
        <w:rPr>
          <w:rFonts w:hint="default" w:eastAsia="仿宋_GB2312"/>
          <w:sz w:val="32"/>
          <w:szCs w:val="32"/>
          <w:highlight w:val="none"/>
          <w:lang w:eastAsia="zh-CN"/>
        </w:rPr>
        <w:t>，包括</w:t>
      </w:r>
      <w:r>
        <w:rPr>
          <w:rFonts w:hint="eastAsia" w:ascii="Times New Roman" w:hAnsi="Times New Roman" w:eastAsia="仿宋_GB2312" w:cs="Times New Roman"/>
          <w:color w:val="auto"/>
          <w:sz w:val="32"/>
          <w:szCs w:val="32"/>
          <w:lang w:val="en-US" w:eastAsia="zh-CN"/>
        </w:rPr>
        <w:t>自评、申报、评价、认定</w:t>
      </w:r>
      <w:r>
        <w:rPr>
          <w:rFonts w:hint="eastAsia" w:eastAsia="仿宋_GB2312" w:cs="Times New Roman"/>
          <w:color w:val="auto"/>
          <w:sz w:val="32"/>
          <w:szCs w:val="32"/>
          <w:lang w:val="en-US" w:eastAsia="zh-CN"/>
        </w:rPr>
        <w:t>四</w:t>
      </w:r>
      <w:r>
        <w:rPr>
          <w:rFonts w:hint="eastAsia" w:eastAsia="仿宋_GB2312"/>
          <w:sz w:val="32"/>
          <w:szCs w:val="32"/>
          <w:highlight w:val="none"/>
          <w:lang w:val="en-US" w:eastAsia="zh-CN"/>
        </w:rPr>
        <w:t>个阶段及主要的时间节点、程序要点及工作要求。要求</w:t>
      </w:r>
      <w:r>
        <w:rPr>
          <w:rFonts w:hint="eastAsia" w:ascii="Times New Roman" w:hAnsi="Times New Roman" w:eastAsia="仿宋_GB2312" w:cs="Times New Roman"/>
          <w:b w:val="0"/>
          <w:bCs w:val="0"/>
          <w:color w:val="auto"/>
          <w:kern w:val="0"/>
          <w:sz w:val="32"/>
          <w:szCs w:val="32"/>
          <w:lang w:val="en-US" w:eastAsia="zh-CN"/>
        </w:rPr>
        <w:t>水行政主管部门将工程标准化评价工作纳入年度目标责任制考核范围</w:t>
      </w:r>
      <w:r>
        <w:rPr>
          <w:rFonts w:hint="eastAsia" w:eastAsia="仿宋_GB2312" w:cs="Times New Roman"/>
          <w:b w:val="0"/>
          <w:bCs w:val="0"/>
          <w:color w:val="auto"/>
          <w:kern w:val="0"/>
          <w:sz w:val="32"/>
          <w:szCs w:val="32"/>
          <w:lang w:val="en-US" w:eastAsia="zh-CN"/>
        </w:rPr>
        <w:t>，</w:t>
      </w:r>
      <w:r>
        <w:rPr>
          <w:rFonts w:hint="eastAsia" w:eastAsia="仿宋_GB2312"/>
          <w:sz w:val="32"/>
          <w:szCs w:val="32"/>
          <w:highlight w:val="none"/>
          <w:lang w:val="en-US" w:eastAsia="zh-CN"/>
        </w:rPr>
        <w:t>规定</w:t>
      </w:r>
      <w:r>
        <w:rPr>
          <w:rFonts w:hint="default" w:eastAsia="仿宋_GB2312"/>
          <w:sz w:val="32"/>
          <w:szCs w:val="32"/>
          <w:highlight w:val="none"/>
          <w:lang w:eastAsia="zh-CN"/>
        </w:rPr>
        <w:t>调水工程标准化管理专家库组建</w:t>
      </w:r>
      <w:r>
        <w:rPr>
          <w:rFonts w:hint="eastAsia" w:eastAsia="仿宋_GB2312"/>
          <w:sz w:val="32"/>
          <w:szCs w:val="32"/>
          <w:highlight w:val="none"/>
          <w:lang w:eastAsia="zh-CN"/>
        </w:rPr>
        <w:t>要求</w:t>
      </w:r>
      <w:r>
        <w:rPr>
          <w:rFonts w:hint="default"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eastAsia="仿宋_GB2312"/>
          <w:sz w:val="32"/>
          <w:szCs w:val="32"/>
          <w:highlight w:val="none"/>
          <w:lang w:val="en-US" w:eastAsia="zh-CN"/>
        </w:rPr>
      </w:pPr>
      <w:r>
        <w:rPr>
          <w:rFonts w:hint="eastAsia" w:eastAsia="仿宋_GB2312"/>
          <w:sz w:val="32"/>
          <w:szCs w:val="32"/>
          <w:highlight w:val="none"/>
          <w:lang w:val="en-US" w:eastAsia="zh-CN"/>
        </w:rPr>
        <w:t>第四章结果运用</w:t>
      </w:r>
      <w:r>
        <w:rPr>
          <w:rFonts w:hint="default" w:eastAsia="仿宋_GB2312"/>
          <w:sz w:val="32"/>
          <w:szCs w:val="32"/>
          <w:highlight w:val="none"/>
          <w:lang w:eastAsia="zh-CN"/>
        </w:rPr>
        <w:t>：第十</w:t>
      </w:r>
      <w:r>
        <w:rPr>
          <w:rFonts w:hint="eastAsia" w:eastAsia="仿宋_GB2312"/>
          <w:sz w:val="32"/>
          <w:szCs w:val="32"/>
          <w:highlight w:val="none"/>
          <w:lang w:val="en-US" w:eastAsia="zh-CN"/>
        </w:rPr>
        <w:t>一</w:t>
      </w:r>
      <w:r>
        <w:rPr>
          <w:rFonts w:hint="default" w:eastAsia="仿宋_GB2312"/>
          <w:sz w:val="32"/>
          <w:szCs w:val="32"/>
          <w:highlight w:val="none"/>
          <w:lang w:eastAsia="zh-CN"/>
        </w:rPr>
        <w:t>至十</w:t>
      </w:r>
      <w:r>
        <w:rPr>
          <w:rFonts w:hint="eastAsia" w:eastAsia="仿宋_GB2312"/>
          <w:sz w:val="32"/>
          <w:szCs w:val="32"/>
          <w:highlight w:val="none"/>
          <w:lang w:val="en-US" w:eastAsia="zh-CN"/>
        </w:rPr>
        <w:t>三</w:t>
      </w:r>
      <w:r>
        <w:rPr>
          <w:rFonts w:hint="default" w:eastAsia="仿宋_GB2312"/>
          <w:sz w:val="32"/>
          <w:szCs w:val="32"/>
          <w:highlight w:val="none"/>
          <w:lang w:eastAsia="zh-CN"/>
        </w:rPr>
        <w:t>条，</w:t>
      </w:r>
      <w:r>
        <w:rPr>
          <w:rFonts w:hint="eastAsia" w:eastAsia="仿宋_GB2312"/>
          <w:sz w:val="32"/>
          <w:szCs w:val="32"/>
          <w:highlight w:val="none"/>
          <w:lang w:val="en-US" w:eastAsia="zh-CN"/>
        </w:rPr>
        <w:t>明确</w:t>
      </w:r>
      <w:r>
        <w:rPr>
          <w:rFonts w:hint="eastAsia" w:ascii="Times New Roman" w:hAnsi="Times New Roman" w:eastAsia="仿宋_GB2312" w:cs="Times New Roman"/>
          <w:color w:val="auto"/>
          <w:sz w:val="32"/>
          <w:szCs w:val="32"/>
          <w:lang w:val="en-US" w:eastAsia="zh-CN"/>
        </w:rPr>
        <w:t>调水工程标准化管理实行定期评价制度</w:t>
      </w:r>
      <w:r>
        <w:rPr>
          <w:rFonts w:hint="eastAsia" w:eastAsia="仿宋_GB2312" w:cs="Times New Roman"/>
          <w:color w:val="auto"/>
          <w:sz w:val="32"/>
          <w:szCs w:val="32"/>
          <w:lang w:val="en-US" w:eastAsia="zh-CN"/>
        </w:rPr>
        <w:t>，每五年复评一次，对取消标准化称号的情形予以明确，</w:t>
      </w:r>
      <w:r>
        <w:rPr>
          <w:rFonts w:hint="eastAsia" w:eastAsia="仿宋_GB2312" w:cs="Times New Roman"/>
          <w:b w:val="0"/>
          <w:bCs w:val="0"/>
          <w:color w:val="auto"/>
          <w:kern w:val="0"/>
          <w:sz w:val="32"/>
          <w:szCs w:val="32"/>
          <w:lang w:val="en-US" w:eastAsia="zh-CN"/>
        </w:rPr>
        <w:t>明确</w:t>
      </w:r>
      <w:r>
        <w:rPr>
          <w:rFonts w:hint="eastAsia" w:eastAsia="仿宋_GB2312" w:cs="Times New Roman"/>
          <w:color w:val="auto"/>
          <w:sz w:val="32"/>
          <w:szCs w:val="32"/>
          <w:lang w:val="en-US" w:eastAsia="zh-CN"/>
        </w:rPr>
        <w:t>标准化建设成果的应用内容</w:t>
      </w:r>
      <w:r>
        <w:rPr>
          <w:rFonts w:hint="eastAsia" w:eastAsia="仿宋_GB2312" w:cs="Times New Roman"/>
          <w:b w:val="0"/>
          <w:bCs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eastAsia="仿宋_GB2312"/>
          <w:sz w:val="32"/>
          <w:szCs w:val="32"/>
          <w:highlight w:val="none"/>
          <w:lang w:val="en-US" w:eastAsia="zh-CN"/>
        </w:rPr>
      </w:pPr>
      <w:r>
        <w:rPr>
          <w:rFonts w:hint="eastAsia" w:eastAsia="仿宋_GB2312"/>
          <w:sz w:val="32"/>
          <w:szCs w:val="32"/>
          <w:highlight w:val="none"/>
          <w:lang w:val="en-US" w:eastAsia="zh-CN"/>
        </w:rPr>
        <w:t>第五章附则</w:t>
      </w:r>
      <w:r>
        <w:rPr>
          <w:rFonts w:hint="default" w:eastAsia="仿宋_GB2312"/>
          <w:sz w:val="32"/>
          <w:szCs w:val="32"/>
          <w:highlight w:val="none"/>
          <w:lang w:eastAsia="zh-CN"/>
        </w:rPr>
        <w:t>：第十</w:t>
      </w:r>
      <w:r>
        <w:rPr>
          <w:rFonts w:hint="eastAsia" w:eastAsia="仿宋_GB2312"/>
          <w:sz w:val="32"/>
          <w:szCs w:val="32"/>
          <w:highlight w:val="none"/>
          <w:lang w:val="en-US" w:eastAsia="zh-CN"/>
        </w:rPr>
        <w:t>四</w:t>
      </w:r>
      <w:r>
        <w:rPr>
          <w:rFonts w:hint="default" w:eastAsia="仿宋_GB2312"/>
          <w:sz w:val="32"/>
          <w:szCs w:val="32"/>
          <w:highlight w:val="none"/>
          <w:lang w:eastAsia="zh-CN"/>
        </w:rPr>
        <w:t>至十</w:t>
      </w:r>
      <w:r>
        <w:rPr>
          <w:rFonts w:hint="eastAsia" w:eastAsia="仿宋_GB2312"/>
          <w:sz w:val="32"/>
          <w:szCs w:val="32"/>
          <w:highlight w:val="none"/>
          <w:lang w:val="en-US" w:eastAsia="zh-CN"/>
        </w:rPr>
        <w:t>六</w:t>
      </w:r>
      <w:r>
        <w:rPr>
          <w:rFonts w:hint="default" w:eastAsia="仿宋_GB2312"/>
          <w:sz w:val="32"/>
          <w:szCs w:val="32"/>
          <w:highlight w:val="none"/>
          <w:lang w:eastAsia="zh-CN"/>
        </w:rPr>
        <w:t>条，主要</w:t>
      </w:r>
      <w:r>
        <w:rPr>
          <w:rFonts w:hint="default" w:ascii="Times New Roman" w:hAnsi="Times New Roman" w:eastAsia="仿宋_GB2312" w:cs="Times New Roman"/>
          <w:b w:val="0"/>
          <w:bCs w:val="0"/>
          <w:color w:val="auto"/>
          <w:kern w:val="0"/>
          <w:sz w:val="32"/>
          <w:szCs w:val="32"/>
          <w:lang w:val="en-US" w:eastAsia="zh-CN"/>
        </w:rPr>
        <w:t>对</w:t>
      </w:r>
      <w:r>
        <w:rPr>
          <w:rFonts w:hint="eastAsia" w:ascii="Times New Roman" w:hAnsi="Times New Roman" w:eastAsia="仿宋_GB2312" w:cs="Times New Roman"/>
          <w:b w:val="0"/>
          <w:bCs w:val="0"/>
          <w:color w:val="auto"/>
          <w:kern w:val="0"/>
          <w:sz w:val="32"/>
          <w:szCs w:val="32"/>
          <w:lang w:val="en-US" w:eastAsia="zh-CN"/>
        </w:rPr>
        <w:t>调水工程标准化动态管理</w:t>
      </w:r>
      <w:r>
        <w:rPr>
          <w:rFonts w:hint="eastAsia" w:eastAsia="仿宋_GB2312"/>
          <w:sz w:val="32"/>
          <w:szCs w:val="32"/>
          <w:highlight w:val="none"/>
          <w:lang w:val="en-US" w:eastAsia="zh-CN"/>
        </w:rPr>
        <w:t>，解释主体、施行时间等作相关规定。</w:t>
      </w:r>
    </w:p>
    <w:p>
      <w:pPr>
        <w:pStyle w:val="2"/>
        <w:rPr>
          <w:rFonts w:hint="eastAsia"/>
          <w:lang w:val="en-US" w:eastAsia="zh-CN"/>
        </w:rPr>
      </w:pPr>
    </w:p>
    <w:sectPr>
      <w:footerReference r:id="rId3" w:type="default"/>
      <w:pgSz w:w="11906" w:h="16838"/>
      <w:pgMar w:top="1440" w:right="1800" w:bottom="1440" w:left="1800" w:header="851" w:footer="992" w:gutter="0"/>
      <w:pgNumType w:fmt="decimal"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PMingLiU">
    <w:altName w:val="文泉驿微米黑"/>
    <w:panose1 w:val="02020500000000000000"/>
    <w:charset w:val="86"/>
    <w:family w:val="auto"/>
    <w:pitch w:val="default"/>
    <w:sig w:usb0="00000000" w:usb1="00000000" w:usb2="00000016" w:usb3="00000000" w:csb0="00100001" w:csb1="00000000"/>
  </w:font>
  <w:font w:name="Cambria">
    <w:altName w:val="Noto Sans Syriac Eastern"/>
    <w:panose1 w:val="02040503050406030204"/>
    <w:charset w:val="00"/>
    <w:family w:val="roman"/>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ind w:right="360" w:firstLine="360"/>
      <w:jc w:val="left"/>
      <w:rPr>
        <w:sz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9"/>
                            <w:tabs>
                              <w:tab w:val="clear" w:pos="4153"/>
                              <w:tab w:val="clear" w:pos="8306"/>
                            </w:tabs>
                            <w:ind w:right="360" w:firstLine="360"/>
                            <w:jc w:val="left"/>
                            <w:rPr>
                              <w:rFonts w:hint="eastAsia"/>
                              <w:kern w:val="0"/>
                              <w:sz w:val="28"/>
                              <w:szCs w:val="28"/>
                            </w:rPr>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33</w:t>
                          </w:r>
                          <w:r>
                            <w:rPr>
                              <w:kern w:val="0"/>
                              <w:sz w:val="28"/>
                              <w:szCs w:val="28"/>
                            </w:rPr>
                            <w:fldChar w:fldCharType="end"/>
                          </w:r>
                          <w:r>
                            <w:rPr>
                              <w:rFonts w:hint="eastAsia"/>
                              <w:kern w:val="0"/>
                              <w:sz w:val="28"/>
                              <w:szCs w:val="28"/>
                            </w:rPr>
                            <w:t>—</w:t>
                          </w:r>
                        </w:p>
                        <w:p/>
                      </w:txbxContent>
                    </wps:txbx>
                    <wps:bodyPr rot="0" vert="horz" wrap="square" lIns="91440" tIns="45720" rIns="91440" bIns="45720" anchor="t" anchorCtr="false"/>
                  </wps:wsp>
                </a:graphicData>
              </a:graphic>
            </wp:anchor>
          </w:drawing>
        </mc:Choice>
        <mc:Fallback>
          <w:pict>
            <v:rect id="_x0000_s2049" o:spid="_x0000_s1026" o:spt="1" style="position:absolute;left:0pt;margin-top:0pt;height:144pt;width:144pt;mso-position-horizontal:outside;mso-position-horizontal-relative:margin;z-index:251659264;mso-width-relative:page;mso-height-relative:page;" filled="f" stroked="f" coordsize="21600,21600" o:gfxdata="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Y&#10;xs8E0wAAAAUBAAAPAAAAAAAAAAEAIAAAADgAAABkcnMvZG93bnJldi54bWxQSwECFAAUAAAACACH&#10;TuJA0e5LCaEBAAA8AwAADgAAAAAAAAABACAAAAA4AQAAZHJzL2Uyb0RvYy54bWxQSwUGAAAAAAYA&#10;BgBZAQAASwUAAAAA&#10;">
              <v:fill on="f" focussize="0,0"/>
              <v:stroke on="f"/>
              <v:imagedata o:title=""/>
              <o:lock v:ext="edit" aspectratio="f"/>
              <v:textbox>
                <w:txbxContent>
                  <w:p>
                    <w:pPr>
                      <w:pStyle w:val="9"/>
                      <w:tabs>
                        <w:tab w:val="clear" w:pos="4153"/>
                        <w:tab w:val="clear" w:pos="8306"/>
                      </w:tabs>
                      <w:ind w:right="360" w:firstLine="360"/>
                      <w:jc w:val="left"/>
                      <w:rPr>
                        <w:rFonts w:hint="eastAsia"/>
                        <w:kern w:val="0"/>
                        <w:sz w:val="28"/>
                        <w:szCs w:val="28"/>
                      </w:rPr>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33</w:t>
                    </w:r>
                    <w:r>
                      <w:rPr>
                        <w:kern w:val="0"/>
                        <w:sz w:val="28"/>
                        <w:szCs w:val="28"/>
                      </w:rPr>
                      <w:fldChar w:fldCharType="end"/>
                    </w:r>
                    <w:r>
                      <w:rPr>
                        <w:rFonts w:hint="eastAsia"/>
                        <w:kern w:val="0"/>
                        <w:sz w:val="28"/>
                        <w:szCs w:val="28"/>
                      </w:rPr>
                      <w:t>—</w:t>
                    </w:r>
                  </w:p>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NjJiN2E5MDJlNWI3NDUzOWQzNDdjMDNhZDY0ODAifQ=="/>
  </w:docVars>
  <w:rsids>
    <w:rsidRoot w:val="00000000"/>
    <w:rsid w:val="014411B5"/>
    <w:rsid w:val="034A5312"/>
    <w:rsid w:val="077B21C7"/>
    <w:rsid w:val="09E35B78"/>
    <w:rsid w:val="0D1A5D55"/>
    <w:rsid w:val="10B31327"/>
    <w:rsid w:val="1B67646B"/>
    <w:rsid w:val="210C1A01"/>
    <w:rsid w:val="26833C2B"/>
    <w:rsid w:val="284E2C20"/>
    <w:rsid w:val="29B17F10"/>
    <w:rsid w:val="2BEC66B7"/>
    <w:rsid w:val="32894C60"/>
    <w:rsid w:val="3598339F"/>
    <w:rsid w:val="3B2FF9DF"/>
    <w:rsid w:val="3B9F48B6"/>
    <w:rsid w:val="3C5B6604"/>
    <w:rsid w:val="3E577088"/>
    <w:rsid w:val="3FBA1C7D"/>
    <w:rsid w:val="3FC660F3"/>
    <w:rsid w:val="44D75CFE"/>
    <w:rsid w:val="463A2E79"/>
    <w:rsid w:val="48D36705"/>
    <w:rsid w:val="49FF926C"/>
    <w:rsid w:val="4BF8008A"/>
    <w:rsid w:val="4DD0653A"/>
    <w:rsid w:val="4DF7B7DD"/>
    <w:rsid w:val="4E5EEC5B"/>
    <w:rsid w:val="4FF77A39"/>
    <w:rsid w:val="5161247B"/>
    <w:rsid w:val="521045FE"/>
    <w:rsid w:val="57FF92F1"/>
    <w:rsid w:val="5A58240B"/>
    <w:rsid w:val="5CFE264B"/>
    <w:rsid w:val="5E4C6354"/>
    <w:rsid w:val="5E8EAA79"/>
    <w:rsid w:val="5FFE3DD3"/>
    <w:rsid w:val="60A31449"/>
    <w:rsid w:val="622119C0"/>
    <w:rsid w:val="63F61104"/>
    <w:rsid w:val="6A9B9AD7"/>
    <w:rsid w:val="6CD44086"/>
    <w:rsid w:val="6D12712A"/>
    <w:rsid w:val="6DF3EA1E"/>
    <w:rsid w:val="6F7586C6"/>
    <w:rsid w:val="73C3626A"/>
    <w:rsid w:val="762E7505"/>
    <w:rsid w:val="7AC92FEC"/>
    <w:rsid w:val="7ADE0485"/>
    <w:rsid w:val="7AFFBA5E"/>
    <w:rsid w:val="7B3F9110"/>
    <w:rsid w:val="7BB63B98"/>
    <w:rsid w:val="7BEB3160"/>
    <w:rsid w:val="7C947DFA"/>
    <w:rsid w:val="7DE7894B"/>
    <w:rsid w:val="7DFCCDE8"/>
    <w:rsid w:val="7EAE521C"/>
    <w:rsid w:val="7EE7CB21"/>
    <w:rsid w:val="7FCD32C1"/>
    <w:rsid w:val="7FEE29C3"/>
    <w:rsid w:val="7FF69A6D"/>
    <w:rsid w:val="7FFFB01B"/>
    <w:rsid w:val="BD77F688"/>
    <w:rsid w:val="BF4B2184"/>
    <w:rsid w:val="BFBAA33D"/>
    <w:rsid w:val="BFE13EDD"/>
    <w:rsid w:val="BFFE505D"/>
    <w:rsid w:val="DED51DAF"/>
    <w:rsid w:val="DFDCC341"/>
    <w:rsid w:val="DFDE81B7"/>
    <w:rsid w:val="E3FBBF80"/>
    <w:rsid w:val="E3FF66A7"/>
    <w:rsid w:val="EBFFB8AD"/>
    <w:rsid w:val="EFEF7EC5"/>
    <w:rsid w:val="F5FEF6DF"/>
    <w:rsid w:val="F7FD66DC"/>
    <w:rsid w:val="F7FF5DDE"/>
    <w:rsid w:val="F8FF5029"/>
    <w:rsid w:val="FE2FB8FE"/>
    <w:rsid w:val="FE6C85E6"/>
    <w:rsid w:val="FEE34967"/>
    <w:rsid w:val="FEFEE00E"/>
    <w:rsid w:val="FF2DC522"/>
    <w:rsid w:val="FF67078C"/>
    <w:rsid w:val="FFD98901"/>
    <w:rsid w:val="FFDDF98B"/>
    <w:rsid w:val="FFDF2EC9"/>
    <w:rsid w:val="FFFC3E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textAlignment w:val="baseline"/>
    </w:pPr>
    <w:rPr>
      <w:rFonts w:ascii="Calibri" w:hAnsi="Calibri"/>
      <w:szCs w:val="21"/>
    </w:rPr>
  </w:style>
  <w:style w:type="character" w:customStyle="1" w:styleId="5">
    <w:name w:val="默认段落字体1"/>
    <w:link w:val="1"/>
    <w:semiHidden/>
    <w:qFormat/>
    <w:uiPriority w:val="0"/>
  </w:style>
  <w:style w:type="table" w:customStyle="1" w:styleId="6">
    <w:name w:val="普通表格1"/>
    <w:semiHidden/>
    <w:qFormat/>
    <w:uiPriority w:val="0"/>
  </w:style>
  <w:style w:type="paragraph" w:customStyle="1" w:styleId="7">
    <w:name w:val="Body text|1"/>
    <w:basedOn w:val="1"/>
    <w:qFormat/>
    <w:uiPriority w:val="0"/>
    <w:pPr>
      <w:widowControl w:val="0"/>
      <w:shd w:val="clear" w:color="auto" w:fill="auto"/>
      <w:spacing w:line="466" w:lineRule="auto"/>
      <w:ind w:firstLine="400"/>
    </w:pPr>
    <w:rPr>
      <w:rFonts w:ascii="宋体" w:hAnsi="宋体" w:eastAsia="宋体"/>
      <w:sz w:val="28"/>
      <w:szCs w:val="28"/>
      <w:u w:val="none"/>
      <w:shd w:val="clear" w:color="auto" w:fill="auto"/>
      <w:lang w:val="zh-TW" w:eastAsia="zh-TW" w:bidi="zh-TW"/>
    </w:rPr>
  </w:style>
  <w:style w:type="paragraph" w:customStyle="1" w:styleId="8">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9">
    <w:name w:val="页脚1"/>
    <w:basedOn w:val="1"/>
    <w:qFormat/>
    <w:uiPriority w:val="0"/>
    <w:pPr>
      <w:tabs>
        <w:tab w:val="center" w:pos="4153"/>
        <w:tab w:val="right" w:pos="8306"/>
      </w:tabs>
      <w:snapToGrid w:val="0"/>
      <w:jc w:val="left"/>
    </w:pPr>
    <w:rPr>
      <w:sz w:val="18"/>
    </w:rPr>
  </w:style>
  <w:style w:type="paragraph" w:customStyle="1" w:styleId="10">
    <w:name w:val="正文-公1"/>
    <w:basedOn w:val="1"/>
    <w:qFormat/>
    <w:uiPriority w:val="0"/>
    <w:pPr>
      <w:ind w:firstLine="200" w:firstLineChars="200"/>
    </w:pPr>
    <w:rPr>
      <w:sz w:val="32"/>
    </w:rPr>
  </w:style>
  <w:style w:type="paragraph" w:customStyle="1" w:styleId="11">
    <w:name w:val="标题1"/>
    <w:basedOn w:val="1"/>
    <w:qFormat/>
    <w:uiPriority w:val="0"/>
    <w:pPr>
      <w:spacing w:before="240" w:after="60"/>
      <w:jc w:val="center"/>
      <w:outlineLvl w:val="0"/>
    </w:pPr>
    <w:rPr>
      <w:rFonts w:ascii="Cambria" w:hAnsi="Cambria" w:eastAsia="宋体"/>
      <w:b/>
      <w:bCs/>
      <w:szCs w:val="32"/>
    </w:rPr>
  </w:style>
  <w:style w:type="paragraph" w:customStyle="1" w:styleId="12">
    <w:name w:val="正文文本1"/>
    <w:basedOn w:val="1"/>
    <w:qFormat/>
    <w:uiPriority w:val="0"/>
    <w:rPr>
      <w:rFonts w:ascii="仿宋" w:hAnsi="仿宋" w:eastAsia="仿宋"/>
      <w:sz w:val="24"/>
      <w:szCs w:val="24"/>
      <w:lang w:val="zh-CN" w:bidi="zh-CN"/>
    </w:rPr>
  </w:style>
  <w:style w:type="table" w:customStyle="1" w:styleId="13">
    <w:name w:val="网格型1"/>
    <w:basedOn w:val="6"/>
    <w:qFormat/>
    <w:uiPriority w:val="0"/>
    <w:pPr>
      <w:widowControl w:val="0"/>
      <w:jc w:val="both"/>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596</Words>
  <Characters>617</Characters>
  <Lines>0</Lines>
  <Paragraphs>0</Paragraphs>
  <TotalTime>7</TotalTime>
  <ScaleCrop>false</ScaleCrop>
  <LinksUpToDate>false</LinksUpToDate>
  <CharactersWithSpaces>617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2023-06-17T10:45:00Z</dcterms:created>
  <dc:creator>gxxc</dc:creator>
  <cp:lastModifiedBy>gxxc</cp:lastModifiedBy>
  <cp:lastPrinted>2023-08-25T01:49:00Z</cp:lastPrinted>
  <dcterms:modified xsi:type="dcterms:W3CDTF">2023-12-08T17:00:13Z</dcterms:modified>
  <dc:title>《广西调水工程标准化管理评价细则》（试行）政策解读</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DF98C163F03F4081BF43F43910BEDF2D_12</vt:lpwstr>
  </property>
</Properties>
</file>