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hint="eastAsia" w:ascii="方正小标宋简体" w:hAnsi="Times New Roman" w:eastAsia="方正小标宋简体" w:cs="Times New Roman"/>
          <w:color w:val="000000" w:themeColor="text1"/>
          <w:sz w:val="44"/>
          <w:szCs w:val="44"/>
          <w14:textFill>
            <w14:solidFill>
              <w14:schemeClr w14:val="tx1"/>
            </w14:solidFill>
          </w14:textFill>
        </w:rPr>
        <w:t>广西农田灌溉发展规划</w:t>
      </w:r>
    </w:p>
    <w:p>
      <w:pPr>
        <w:spacing w:line="360" w:lineRule="auto"/>
        <w:jc w:val="center"/>
        <w:rPr>
          <w:rFonts w:ascii="方正小标宋简体" w:hAnsi="Times New Roman" w:eastAsia="方正小标宋简体" w:cs="Times New Roman"/>
          <w:color w:val="000000" w:themeColor="text1"/>
          <w:sz w:val="36"/>
          <w:szCs w:val="28"/>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（征求意见稿）</w:t>
      </w: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一、规划编制背景</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习近平总书记强调，粮食安全是</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国之大者</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中国人的饭碗任何时候都要牢牢端在自己手中，我们的饭碗应该主要装中国粮</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。党的二十大报告提出</w:t>
      </w:r>
      <w:r>
        <w:rPr>
          <w:rFonts w:ascii="Times New Roman" w:hAnsi="Times New Roman" w:eastAsia="仿宋_GB2312" w:cs="Times New Roman"/>
          <w:color w:val="000000" w:themeColor="text1"/>
          <w:sz w:val="32"/>
          <w:szCs w:val="28"/>
          <w14:textFill>
            <w14:solidFill>
              <w14:schemeClr w14:val="tx1"/>
            </w14:solidFill>
          </w14:textFill>
        </w:rPr>
        <w:t xml:space="preserve"> “</w:t>
      </w:r>
      <w:r>
        <w:rPr>
          <w:rFonts w:hint="eastAsia" w:ascii="Times New Roman" w:hAnsi="Times New Roman" w:eastAsia="仿宋_GB2312" w:cs="Times New Roman"/>
          <w:color w:val="000000" w:themeColor="text1"/>
          <w:sz w:val="32"/>
          <w:szCs w:val="28"/>
          <w14:textFill>
            <w14:solidFill>
              <w14:schemeClr w14:val="tx1"/>
            </w14:solidFill>
          </w14:textFill>
        </w:rPr>
        <w:t>全面推进乡村振兴”“坚持农业农村优先发展”“加快建设农业强国”“全方位夯实粮食安全根基，全面落实粮食安全党政同责，牢牢守住十八亿亩耕地红线，逐步把永久基本农田全部建成高标准农田”“确保中国人的饭碗牢牢端在自己手中</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。粮食生产根本在耕地，命脉在水利。</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2022</w:t>
      </w:r>
      <w:r>
        <w:rPr>
          <w:rFonts w:hint="eastAsia" w:ascii="Times New Roman" w:hAnsi="Times New Roman" w:eastAsia="仿宋_GB2312" w:cs="Times New Roman"/>
          <w:color w:val="000000" w:themeColor="text1"/>
          <w:sz w:val="32"/>
          <w:szCs w:val="28"/>
          <w14:textFill>
            <w14:solidFill>
              <w14:schemeClr w14:val="tx1"/>
            </w14:solidFill>
          </w14:textFill>
        </w:rPr>
        <w:t>年</w:t>
      </w:r>
      <w:r>
        <w:rPr>
          <w:rFonts w:ascii="Times New Roman" w:hAnsi="Times New Roman" w:eastAsia="仿宋_GB2312" w:cs="Times New Roman"/>
          <w:color w:val="000000" w:themeColor="text1"/>
          <w:sz w:val="32"/>
          <w:szCs w:val="28"/>
          <w14:textFill>
            <w14:solidFill>
              <w14:schemeClr w14:val="tx1"/>
            </w14:solidFill>
          </w14:textFill>
        </w:rPr>
        <w:t>11</w:t>
      </w:r>
      <w:r>
        <w:rPr>
          <w:rFonts w:hint="eastAsia" w:ascii="Times New Roman" w:hAnsi="Times New Roman" w:eastAsia="仿宋_GB2312" w:cs="Times New Roman"/>
          <w:color w:val="000000" w:themeColor="text1"/>
          <w:sz w:val="32"/>
          <w:szCs w:val="28"/>
          <w14:textFill>
            <w14:solidFill>
              <w14:schemeClr w14:val="tx1"/>
            </w14:solidFill>
          </w14:textFill>
        </w:rPr>
        <w:t>月，水利部办公厅、农业农村部办公厅联合印发《水利部办公厅</w:t>
      </w:r>
      <w:r>
        <w:rPr>
          <w:rFonts w:ascii="Times New Roman" w:hAnsi="Times New Roman" w:eastAsia="仿宋_GB2312" w:cs="Times New Roman"/>
          <w:color w:val="000000" w:themeColor="text1"/>
          <w:sz w:val="32"/>
          <w:szCs w:val="28"/>
          <w14:textFill>
            <w14:solidFill>
              <w14:schemeClr w14:val="tx1"/>
            </w14:solidFill>
          </w14:textFill>
        </w:rPr>
        <w:t xml:space="preserve"> </w:t>
      </w:r>
      <w:r>
        <w:rPr>
          <w:rFonts w:hint="eastAsia" w:ascii="Times New Roman" w:hAnsi="Times New Roman" w:eastAsia="仿宋_GB2312" w:cs="Times New Roman"/>
          <w:color w:val="000000" w:themeColor="text1"/>
          <w:sz w:val="32"/>
          <w:szCs w:val="28"/>
          <w14:textFill>
            <w14:solidFill>
              <w14:schemeClr w14:val="tx1"/>
            </w14:solidFill>
          </w14:textFill>
        </w:rPr>
        <w:t>农业农村部办公厅关于开展全国农田灌溉发展规划编制工作的通知》（办农水〔</w:t>
      </w:r>
      <w:r>
        <w:rPr>
          <w:rFonts w:ascii="Times New Roman" w:hAnsi="Times New Roman" w:eastAsia="仿宋_GB2312" w:cs="Times New Roman"/>
          <w:color w:val="000000" w:themeColor="text1"/>
          <w:sz w:val="32"/>
          <w:szCs w:val="28"/>
          <w14:textFill>
            <w14:solidFill>
              <w14:schemeClr w14:val="tx1"/>
            </w14:solidFill>
          </w14:textFill>
        </w:rPr>
        <w:t>2022</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304</w:t>
      </w:r>
      <w:r>
        <w:rPr>
          <w:rFonts w:hint="eastAsia" w:ascii="Times New Roman" w:hAnsi="Times New Roman" w:eastAsia="仿宋_GB2312" w:cs="Times New Roman"/>
          <w:color w:val="000000" w:themeColor="text1"/>
          <w:sz w:val="32"/>
          <w:szCs w:val="28"/>
          <w14:textFill>
            <w14:solidFill>
              <w14:schemeClr w14:val="tx1"/>
            </w14:solidFill>
          </w14:textFill>
        </w:rPr>
        <w:t>号），部署开展《全国农田灌溉发展规划》编制工作。</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按照水利部、农业农村部有关要求，</w:t>
      </w:r>
      <w:r>
        <w:rPr>
          <w:rFonts w:ascii="Times New Roman" w:hAnsi="Times New Roman" w:eastAsia="仿宋_GB2312" w:cs="Times New Roman"/>
          <w:color w:val="000000" w:themeColor="text1"/>
          <w:sz w:val="32"/>
          <w:szCs w:val="28"/>
          <w14:textFill>
            <w14:solidFill>
              <w14:schemeClr w14:val="tx1"/>
            </w14:solidFill>
          </w14:textFill>
        </w:rPr>
        <w:t>2023</w:t>
      </w:r>
      <w:r>
        <w:rPr>
          <w:rFonts w:hint="eastAsia" w:ascii="Times New Roman" w:hAnsi="Times New Roman" w:eastAsia="仿宋_GB2312" w:cs="Times New Roman"/>
          <w:color w:val="000000" w:themeColor="text1"/>
          <w:sz w:val="32"/>
          <w:szCs w:val="28"/>
          <w14:textFill>
            <w14:solidFill>
              <w14:schemeClr w14:val="tx1"/>
            </w14:solidFill>
          </w14:textFill>
        </w:rPr>
        <w:t>年</w:t>
      </w:r>
      <w:r>
        <w:rPr>
          <w:rFonts w:ascii="Times New Roman" w:hAnsi="Times New Roman" w:eastAsia="仿宋_GB2312" w:cs="Times New Roman"/>
          <w:color w:val="000000" w:themeColor="text1"/>
          <w:sz w:val="32"/>
          <w:szCs w:val="28"/>
          <w14:textFill>
            <w14:solidFill>
              <w14:schemeClr w14:val="tx1"/>
            </w14:solidFill>
          </w14:textFill>
        </w:rPr>
        <w:t>1</w:t>
      </w:r>
      <w:r>
        <w:rPr>
          <w:rFonts w:hint="eastAsia" w:ascii="Times New Roman" w:hAnsi="Times New Roman" w:eastAsia="仿宋_GB2312" w:cs="Times New Roman"/>
          <w:color w:val="000000" w:themeColor="text1"/>
          <w:sz w:val="32"/>
          <w:szCs w:val="28"/>
          <w14:textFill>
            <w14:solidFill>
              <w14:schemeClr w14:val="tx1"/>
            </w14:solidFill>
          </w14:textFill>
        </w:rPr>
        <w:t>月，自治区水利厅、农业农村厅联合印发《自治区水利厅</w:t>
      </w:r>
      <w:r>
        <w:rPr>
          <w:rFonts w:ascii="Times New Roman" w:hAnsi="Times New Roman" w:eastAsia="仿宋_GB2312" w:cs="Times New Roman"/>
          <w:color w:val="000000" w:themeColor="text1"/>
          <w:sz w:val="32"/>
          <w:szCs w:val="28"/>
          <w14:textFill>
            <w14:solidFill>
              <w14:schemeClr w14:val="tx1"/>
            </w14:solidFill>
          </w14:textFill>
        </w:rPr>
        <w:t xml:space="preserve"> </w:t>
      </w:r>
      <w:r>
        <w:rPr>
          <w:rFonts w:hint="eastAsia" w:ascii="Times New Roman" w:hAnsi="Times New Roman" w:eastAsia="仿宋_GB2312" w:cs="Times New Roman"/>
          <w:color w:val="000000" w:themeColor="text1"/>
          <w:sz w:val="32"/>
          <w:szCs w:val="28"/>
          <w14:textFill>
            <w14:solidFill>
              <w14:schemeClr w14:val="tx1"/>
            </w14:solidFill>
          </w14:textFill>
        </w:rPr>
        <w:t>自治区农业农村厅关于开展广西农田灌溉发展规划编制工作的通知》（桂水农水〔</w:t>
      </w:r>
      <w:r>
        <w:rPr>
          <w:rFonts w:ascii="Times New Roman" w:hAnsi="Times New Roman" w:eastAsia="仿宋_GB2312" w:cs="Times New Roman"/>
          <w:color w:val="000000" w:themeColor="text1"/>
          <w:sz w:val="32"/>
          <w:szCs w:val="28"/>
          <w14:textFill>
            <w14:solidFill>
              <w14:schemeClr w14:val="tx1"/>
            </w14:solidFill>
          </w14:textFill>
        </w:rPr>
        <w:t>2023</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1</w:t>
      </w:r>
      <w:r>
        <w:rPr>
          <w:rFonts w:hint="eastAsia" w:ascii="Times New Roman" w:hAnsi="Times New Roman" w:eastAsia="仿宋_GB2312" w:cs="Times New Roman"/>
          <w:color w:val="000000" w:themeColor="text1"/>
          <w:sz w:val="32"/>
          <w:szCs w:val="28"/>
          <w14:textFill>
            <w14:solidFill>
              <w14:schemeClr w14:val="tx1"/>
            </w14:solidFill>
          </w14:textFill>
        </w:rPr>
        <w:t>号），由自治区水利厅、农业农村厅、发展改革委、财政厅、自然资源厅联合成立规划编制工作专班，组建规划工作组，自治区水利厅牵头组织开展全区农田灌溉发展规划编制工作。经与全国技术审核单位水利部水利水电规划设计总院、中国灌溉排水发展中心多次沟通协调，于</w:t>
      </w:r>
      <w:r>
        <w:rPr>
          <w:rFonts w:ascii="Times New Roman" w:hAnsi="Times New Roman" w:eastAsia="仿宋_GB2312" w:cs="Times New Roman"/>
          <w:color w:val="000000" w:themeColor="text1"/>
          <w:sz w:val="32"/>
          <w:szCs w:val="28"/>
          <w14:textFill>
            <w14:solidFill>
              <w14:schemeClr w14:val="tx1"/>
            </w14:solidFill>
          </w14:textFill>
        </w:rPr>
        <w:t>2024</w:t>
      </w:r>
      <w:r>
        <w:rPr>
          <w:rFonts w:hint="eastAsia" w:ascii="Times New Roman" w:hAnsi="Times New Roman" w:eastAsia="仿宋_GB2312" w:cs="Times New Roman"/>
          <w:color w:val="000000" w:themeColor="text1"/>
          <w:sz w:val="32"/>
          <w:szCs w:val="28"/>
          <w14:textFill>
            <w14:solidFill>
              <w14:schemeClr w14:val="tx1"/>
            </w14:solidFill>
          </w14:textFill>
        </w:rPr>
        <w:t>年</w:t>
      </w:r>
      <w:r>
        <w:rPr>
          <w:rFonts w:ascii="Times New Roman" w:hAnsi="Times New Roman" w:eastAsia="仿宋_GB2312" w:cs="Times New Roman"/>
          <w:color w:val="000000" w:themeColor="text1"/>
          <w:sz w:val="32"/>
          <w:szCs w:val="28"/>
          <w14:textFill>
            <w14:solidFill>
              <w14:schemeClr w14:val="tx1"/>
            </w14:solidFill>
          </w14:textFill>
        </w:rPr>
        <w:t>10</w:t>
      </w:r>
      <w:r>
        <w:rPr>
          <w:rFonts w:hint="eastAsia" w:ascii="Times New Roman" w:hAnsi="Times New Roman" w:eastAsia="仿宋_GB2312" w:cs="Times New Roman"/>
          <w:color w:val="000000" w:themeColor="text1"/>
          <w:sz w:val="32"/>
          <w:szCs w:val="28"/>
          <w14:textFill>
            <w14:solidFill>
              <w14:schemeClr w14:val="tx1"/>
            </w14:solidFill>
          </w14:textFill>
        </w:rPr>
        <w:t>月编制完成《广西农田灌溉发展规划》（征求意见稿）（以下简称《规划》）。《规划》在全面调查的基础上，协同国土空间、农业生产、水安全保障格局，全面规划广西灌溉发展总体布局，统筹近远期灌溉发展目标和任务，坚持“节水优先、空间均衡、系统治理、两手发力”治水思路，以水土资源平衡为基础，以国家、自治区及市县水网建设为依托，谋划符合广西农田灌溉发展实际的现代化灌排体系，对大中型灌区现代化改造、新建大中型灌区、小型农田水利建设、高标准农田灌溉工程建设等作出了安排。《规划》将是未来一段时间广西农田灌溉发展的顶层设计，可为保障粮食安全、糖料蔗生产、发展特色农业产业、促进农村供水高质量发展、助力乡村振兴提供坚实水利支撑。</w:t>
      </w: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二、指导思想</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以习近平新时代中国特色社会主义思想为指导，深入贯彻党的二十大精神，贯彻党中央粮食安全是</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国之大者</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确保谷物基本自给、口粮绝对安全</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的新粮食安全观，落实党中央、国务院关于加快建设农业强国战略、实施国家粮食安全战略、重要农产品保障战略，保障国家水安全等决策部署，坚持</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节水优先、空间均衡、系统治理、两手发力</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治水思路，深入贯彻落实习近平总书记关于广西工作论述的重要要求，以提高广西农田灌溉发展水平为主线，加强农田水利设施建设，夯实粮食、糖料蔗、亚热带水果等重要农产品生产基础，增强农业抗御自然灾害能力，助推“一区两地一园一通道”建设，为全区加快实现乡村振兴战略和现代农业目标奠定坚实基础。</w:t>
      </w: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三、基本原则</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b/>
          <w:color w:val="000000" w:themeColor="text1"/>
          <w:sz w:val="32"/>
          <w:szCs w:val="28"/>
          <w14:textFill>
            <w14:solidFill>
              <w14:schemeClr w14:val="tx1"/>
            </w14:solidFill>
          </w14:textFill>
        </w:rPr>
        <w:t>坚持战略导向、强化支撑。</w:t>
      </w:r>
      <w:r>
        <w:rPr>
          <w:rFonts w:hint="eastAsia" w:ascii="Times New Roman" w:hAnsi="Times New Roman" w:eastAsia="仿宋_GB2312" w:cs="Times New Roman"/>
          <w:color w:val="000000" w:themeColor="text1"/>
          <w:sz w:val="32"/>
          <w:szCs w:val="28"/>
          <w14:textFill>
            <w14:solidFill>
              <w14:schemeClr w14:val="tx1"/>
            </w14:solidFill>
          </w14:textFill>
        </w:rPr>
        <w:t>聚焦国家、自治区粮食安全和重要农产品保障战略，充分挖掘改善灌溉条件和增加农田灌溉面积潜力，夯实粮食安全灌溉基础。</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b/>
          <w:color w:val="000000" w:themeColor="text1"/>
          <w:sz w:val="32"/>
          <w:szCs w:val="28"/>
          <w14:textFill>
            <w14:solidFill>
              <w14:schemeClr w14:val="tx1"/>
            </w14:solidFill>
          </w14:textFill>
        </w:rPr>
        <w:t>坚持节水优先、高效利用。</w:t>
      </w:r>
      <w:r>
        <w:rPr>
          <w:rFonts w:hint="eastAsia" w:ascii="Times New Roman" w:hAnsi="Times New Roman" w:eastAsia="仿宋_GB2312" w:cs="Times New Roman"/>
          <w:color w:val="000000" w:themeColor="text1"/>
          <w:sz w:val="32"/>
          <w:szCs w:val="28"/>
          <w14:textFill>
            <w14:solidFill>
              <w14:schemeClr w14:val="tx1"/>
            </w14:solidFill>
          </w14:textFill>
        </w:rPr>
        <w:t>把节水作为拓展灌溉发展空间的基础，强化农业节水增效，大力发展高效节水灌溉，全力提高灌溉用水的节约集约利用水平。</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b/>
          <w:color w:val="000000" w:themeColor="text1"/>
          <w:sz w:val="32"/>
          <w:szCs w:val="28"/>
          <w14:textFill>
            <w14:solidFill>
              <w14:schemeClr w14:val="tx1"/>
            </w14:solidFill>
          </w14:textFill>
        </w:rPr>
        <w:t>坚持水土平衡，科学布局。</w:t>
      </w:r>
      <w:r>
        <w:rPr>
          <w:rFonts w:hint="eastAsia" w:ascii="Times New Roman" w:hAnsi="Times New Roman" w:eastAsia="仿宋_GB2312" w:cs="Times New Roman"/>
          <w:color w:val="000000" w:themeColor="text1"/>
          <w:sz w:val="32"/>
          <w:szCs w:val="28"/>
          <w14:textFill>
            <w14:solidFill>
              <w14:schemeClr w14:val="tx1"/>
            </w14:solidFill>
          </w14:textFill>
        </w:rPr>
        <w:t>强化水资源刚性约束，统筹考虑灌溉发展需求、水土资源条件，强调水土平衡，科学确定灌溉发展规模及布局。</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b/>
          <w:color w:val="000000" w:themeColor="text1"/>
          <w:sz w:val="32"/>
          <w:szCs w:val="28"/>
          <w14:textFill>
            <w14:solidFill>
              <w14:schemeClr w14:val="tx1"/>
            </w14:solidFill>
          </w14:textFill>
        </w:rPr>
        <w:t>坚持全面规划、统筹推进。</w:t>
      </w:r>
      <w:r>
        <w:rPr>
          <w:rFonts w:hint="eastAsia" w:ascii="Times New Roman" w:hAnsi="Times New Roman" w:eastAsia="仿宋_GB2312" w:cs="Times New Roman"/>
          <w:color w:val="000000" w:themeColor="text1"/>
          <w:sz w:val="32"/>
          <w:szCs w:val="28"/>
          <w14:textFill>
            <w14:solidFill>
              <w14:schemeClr w14:val="tx1"/>
            </w14:solidFill>
          </w14:textFill>
        </w:rPr>
        <w:t>坚持水源与灌区、改造与新建、骨干与田间、建设与管理等全面规划，统筹灌溉发展与生态环境保护，推进绿色发展。</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b/>
          <w:color w:val="000000" w:themeColor="text1"/>
          <w:sz w:val="32"/>
          <w:szCs w:val="28"/>
          <w14:textFill>
            <w14:solidFill>
              <w14:schemeClr w14:val="tx1"/>
            </w14:solidFill>
          </w14:textFill>
        </w:rPr>
        <w:t>坚持创新驱动、持续发展。</w:t>
      </w:r>
      <w:r>
        <w:rPr>
          <w:rFonts w:hint="eastAsia" w:ascii="Times New Roman" w:hAnsi="Times New Roman" w:eastAsia="仿宋_GB2312" w:cs="Times New Roman"/>
          <w:color w:val="000000" w:themeColor="text1"/>
          <w:sz w:val="32"/>
          <w:szCs w:val="28"/>
          <w14:textFill>
            <w14:solidFill>
              <w14:schemeClr w14:val="tx1"/>
            </w14:solidFill>
          </w14:textFill>
        </w:rPr>
        <w:t>强化体制机制制度科技创新，不断激发灌溉发展活力。贯彻智慧水利理念，加快完善灌溉管理体系，提升灌溉管理能力。</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b/>
          <w:color w:val="000000" w:themeColor="text1"/>
          <w:sz w:val="32"/>
          <w:szCs w:val="28"/>
          <w14:textFill>
            <w14:solidFill>
              <w14:schemeClr w14:val="tx1"/>
            </w14:solidFill>
          </w14:textFill>
        </w:rPr>
        <w:t>坚持多规融合、协同推进。</w:t>
      </w:r>
      <w:r>
        <w:rPr>
          <w:rFonts w:hint="eastAsia" w:ascii="Times New Roman" w:hAnsi="Times New Roman" w:eastAsia="仿宋_GB2312" w:cs="Times New Roman"/>
          <w:color w:val="000000" w:themeColor="text1"/>
          <w:sz w:val="32"/>
          <w:szCs w:val="28"/>
          <w14:textFill>
            <w14:solidFill>
              <w14:schemeClr w14:val="tx1"/>
            </w14:solidFill>
          </w14:textFill>
        </w:rPr>
        <w:t>坚持水土田粮生统筹，加强与国民经济和社会发展规划、国土空间规划、农业农村发展规划、粮食及农产品布局规划、高标准农田建设规划等规划的协调衔接。</w:t>
      </w: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四、规划范围与规划水平年</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规划范围包括广西全区</w:t>
      </w:r>
      <w:r>
        <w:rPr>
          <w:rFonts w:ascii="Times New Roman" w:hAnsi="Times New Roman" w:eastAsia="仿宋_GB2312" w:cs="Times New Roman"/>
          <w:color w:val="000000" w:themeColor="text1"/>
          <w:sz w:val="32"/>
          <w:szCs w:val="28"/>
          <w14:textFill>
            <w14:solidFill>
              <w14:schemeClr w14:val="tx1"/>
            </w14:solidFill>
          </w14:textFill>
        </w:rPr>
        <w:t>14</w:t>
      </w:r>
      <w:r>
        <w:rPr>
          <w:rFonts w:hint="eastAsia" w:ascii="Times New Roman" w:hAnsi="Times New Roman" w:eastAsia="仿宋_GB2312" w:cs="Times New Roman"/>
          <w:color w:val="000000" w:themeColor="text1"/>
          <w:sz w:val="32"/>
          <w:szCs w:val="28"/>
          <w14:textFill>
            <w14:solidFill>
              <w14:schemeClr w14:val="tx1"/>
            </w14:solidFill>
          </w14:textFill>
        </w:rPr>
        <w:t>个设区市。现状水平年为</w:t>
      </w:r>
      <w:r>
        <w:rPr>
          <w:rFonts w:ascii="Times New Roman" w:hAnsi="Times New Roman" w:eastAsia="仿宋_GB2312" w:cs="Times New Roman"/>
          <w:color w:val="000000" w:themeColor="text1"/>
          <w:sz w:val="32"/>
          <w:szCs w:val="28"/>
          <w14:textFill>
            <w14:solidFill>
              <w14:schemeClr w14:val="tx1"/>
            </w14:solidFill>
          </w14:textFill>
        </w:rPr>
        <w:t>2021</w:t>
      </w:r>
      <w:r>
        <w:rPr>
          <w:rFonts w:hint="eastAsia" w:ascii="Times New Roman" w:hAnsi="Times New Roman" w:eastAsia="仿宋_GB2312" w:cs="Times New Roman"/>
          <w:color w:val="000000" w:themeColor="text1"/>
          <w:sz w:val="32"/>
          <w:szCs w:val="28"/>
          <w14:textFill>
            <w14:solidFill>
              <w14:schemeClr w14:val="tx1"/>
            </w14:solidFill>
          </w14:textFill>
        </w:rPr>
        <w:t>年，规划水平年为</w:t>
      </w:r>
      <w:r>
        <w:rPr>
          <w:rFonts w:ascii="Times New Roman" w:hAnsi="Times New Roman" w:eastAsia="仿宋_GB2312" w:cs="Times New Roman"/>
          <w:color w:val="000000" w:themeColor="text1"/>
          <w:sz w:val="32"/>
          <w:szCs w:val="28"/>
          <w14:textFill>
            <w14:solidFill>
              <w14:schemeClr w14:val="tx1"/>
            </w14:solidFill>
          </w14:textFill>
        </w:rPr>
        <w:t>2035</w:t>
      </w:r>
      <w:r>
        <w:rPr>
          <w:rFonts w:hint="eastAsia" w:ascii="Times New Roman" w:hAnsi="Times New Roman" w:eastAsia="仿宋_GB2312" w:cs="Times New Roman"/>
          <w:color w:val="000000" w:themeColor="text1"/>
          <w:sz w:val="32"/>
          <w:szCs w:val="28"/>
          <w14:textFill>
            <w14:solidFill>
              <w14:schemeClr w14:val="tx1"/>
            </w14:solidFill>
          </w14:textFill>
        </w:rPr>
        <w:t>年，并展望</w:t>
      </w:r>
      <w:r>
        <w:rPr>
          <w:rFonts w:ascii="Times New Roman" w:hAnsi="Times New Roman" w:eastAsia="仿宋_GB2312" w:cs="Times New Roman"/>
          <w:color w:val="000000" w:themeColor="text1"/>
          <w:sz w:val="32"/>
          <w:szCs w:val="28"/>
          <w14:textFill>
            <w14:solidFill>
              <w14:schemeClr w14:val="tx1"/>
            </w14:solidFill>
          </w14:textFill>
        </w:rPr>
        <w:t>2050</w:t>
      </w:r>
      <w:r>
        <w:rPr>
          <w:rFonts w:hint="eastAsia" w:ascii="Times New Roman" w:hAnsi="Times New Roman" w:eastAsia="仿宋_GB2312" w:cs="Times New Roman"/>
          <w:color w:val="000000" w:themeColor="text1"/>
          <w:sz w:val="32"/>
          <w:szCs w:val="28"/>
          <w14:textFill>
            <w14:solidFill>
              <w14:schemeClr w14:val="tx1"/>
            </w14:solidFill>
          </w14:textFill>
        </w:rPr>
        <w:t>年。</w:t>
      </w: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五、规划目标</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围绕</w:t>
      </w:r>
      <w:r>
        <w:rPr>
          <w:rFonts w:ascii="Times New Roman" w:hAnsi="Times New Roman" w:eastAsia="仿宋_GB2312" w:cs="Times New Roman"/>
          <w:color w:val="000000" w:themeColor="text1"/>
          <w:sz w:val="32"/>
          <w:szCs w:val="28"/>
          <w14:textFill>
            <w14:solidFill>
              <w14:schemeClr w14:val="tx1"/>
            </w14:solidFill>
          </w14:textFill>
        </w:rPr>
        <w:t>2035</w:t>
      </w:r>
      <w:r>
        <w:rPr>
          <w:rFonts w:hint="eastAsia" w:ascii="Times New Roman" w:hAnsi="Times New Roman" w:eastAsia="仿宋_GB2312" w:cs="Times New Roman"/>
          <w:color w:val="000000" w:themeColor="text1"/>
          <w:sz w:val="32"/>
          <w:szCs w:val="28"/>
          <w14:textFill>
            <w14:solidFill>
              <w14:schemeClr w14:val="tx1"/>
            </w14:solidFill>
          </w14:textFill>
        </w:rPr>
        <w:t>年基本实现社会主义现代化的目标，按照保障粮食安全、服务乡村振兴战略、促进农业现代化等方面的要求，到</w:t>
      </w:r>
      <w:r>
        <w:rPr>
          <w:rFonts w:ascii="Times New Roman" w:hAnsi="Times New Roman" w:eastAsia="仿宋_GB2312" w:cs="Times New Roman"/>
          <w:color w:val="000000" w:themeColor="text1"/>
          <w:sz w:val="32"/>
          <w:szCs w:val="28"/>
          <w14:textFill>
            <w14:solidFill>
              <w14:schemeClr w14:val="tx1"/>
            </w14:solidFill>
          </w14:textFill>
        </w:rPr>
        <w:t>2035</w:t>
      </w:r>
      <w:r>
        <w:rPr>
          <w:rFonts w:hint="eastAsia" w:ascii="Times New Roman" w:hAnsi="Times New Roman" w:eastAsia="仿宋_GB2312" w:cs="Times New Roman"/>
          <w:color w:val="000000" w:themeColor="text1"/>
          <w:sz w:val="32"/>
          <w:szCs w:val="28"/>
          <w14:textFill>
            <w14:solidFill>
              <w14:schemeClr w14:val="tx1"/>
            </w14:solidFill>
          </w14:textFill>
        </w:rPr>
        <w:t>年，全区粮食综合生产能力保持稳定增长，灌溉范围显著扩大，灌溉面积大幅增加，其中耕地灌溉面积大幅提升。灌溉水利用效率显著提升，节水灌溉率显著提高，高效节水灌溉广泛运用。基本构建</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设施完善、技术先进、管理科学、用水高效、生态良好、保障有力</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的现代化灌溉体系。</w:t>
      </w: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六、总体布局</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按照国家关于实施新一轮千亿斤粮食产能提升和增加农田灌溉面积的要求，衔接广西国土空间规划的开发保护总体格局，协调</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水</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土</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粮</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空间格局，结合国家、自治区及市县水网建设，优化水资源配置总体格局。</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桂中盆地农业主产区：地形地貌以河流冲积平原和大型盆地为主，土壤类型主要为水稻土、红壤。以建设优质水稻、玉米、糖料蔗产区为主，以发展柑橘、蔬菜、中药材等特色农产品为补充。</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南流江三角洲农业主产区：地形地貌以微丘陵和小型平原为主，土壤类型主要为水稻土、赤红壤和滨海盐土。以建设优质水稻、秋冬马铃薯、糖料蔗产区为主，以发展香蕉、荔枝、茶叶等特色农产品为补充。</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浔郁平原农业主产区：地形地貌以微丘陵和河流冲积平原为主，土壤类型主要为水稻土、红壤。以建设优质水稻、蔬菜产区为主，以发展柑橘、荔枝、香蕉、中药材等特色农产品为补充。</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桂北农业主产区：地形地貌以丘陵和小台地为主，土壤类型主要为水稻土、红壤。以建设优质水稻、柑橘产区为主，以发展中药材、蔬菜等特色农产品为补充。</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右江河谷农业主产区：地形地貌以山间河谷平原为主，土壤类型主要为红壤土、砂壤土。以建设优质水稻、玉米产区为主，以发展芒果、火龙果、蔬菜等特色农产品为补充。</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桂西南农业主产区：地形地貌以微丘陵和小型平原为主，土壤类型主要为赤红壤。以建设优质糖料蔗产区为主，以发展香蕉、龙眼、茶叶等特色农产品为补充。</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多个特色农产品优势区：涉及全区</w:t>
      </w:r>
      <w:r>
        <w:rPr>
          <w:rFonts w:ascii="Times New Roman" w:hAnsi="Times New Roman" w:eastAsia="仿宋_GB2312" w:cs="Times New Roman"/>
          <w:color w:val="000000" w:themeColor="text1"/>
          <w:sz w:val="32"/>
          <w:szCs w:val="28"/>
          <w14:textFill>
            <w14:solidFill>
              <w14:schemeClr w14:val="tx1"/>
            </w14:solidFill>
          </w14:textFill>
        </w:rPr>
        <w:t>14</w:t>
      </w:r>
      <w:r>
        <w:rPr>
          <w:rFonts w:hint="eastAsia" w:ascii="Times New Roman" w:hAnsi="Times New Roman" w:eastAsia="仿宋_GB2312" w:cs="Times New Roman"/>
          <w:color w:val="000000" w:themeColor="text1"/>
          <w:sz w:val="32"/>
          <w:szCs w:val="28"/>
          <w14:textFill>
            <w14:solidFill>
              <w14:schemeClr w14:val="tx1"/>
            </w14:solidFill>
          </w14:textFill>
        </w:rPr>
        <w:t>市，以发展蚕桑、中药材、芒果、香蕉、柑橘、茶叶、蔬菜等特色农产品为主。</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服务广西农业发展战略，保障粮食、糖料蔗生产，发展特色农业产业，确定广西“六主多区—六大农业主产区、多个特色农产品优势区”的现代农业灌溉总体布局。</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七、主要建设任务</w:t>
      </w:r>
    </w:p>
    <w:p>
      <w:pPr>
        <w:spacing w:line="360" w:lineRule="auto"/>
        <w:ind w:firstLine="642" w:firstLineChars="200"/>
        <w:rPr>
          <w:rFonts w:ascii="Times New Roman" w:hAnsi="Times New Roman" w:eastAsia="楷体" w:cs="Times New Roman"/>
          <w:b/>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（一）大中型灌区现代化改造</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依据《广西中型灌区续建配套与节水改造实施方案（</w:t>
      </w:r>
      <w:r>
        <w:rPr>
          <w:rFonts w:ascii="Times New Roman" w:hAnsi="Times New Roman" w:eastAsia="仿宋_GB2312" w:cs="Times New Roman"/>
          <w:color w:val="000000" w:themeColor="text1"/>
          <w:sz w:val="32"/>
          <w:szCs w:val="28"/>
          <w14:textFill>
            <w14:solidFill>
              <w14:schemeClr w14:val="tx1"/>
            </w14:solidFill>
          </w14:textFill>
        </w:rPr>
        <w:t>2023-2025</w:t>
      </w:r>
      <w:r>
        <w:rPr>
          <w:rFonts w:hint="eastAsia" w:ascii="Times New Roman" w:hAnsi="Times New Roman" w:eastAsia="仿宋_GB2312" w:cs="Times New Roman"/>
          <w:color w:val="000000" w:themeColor="text1"/>
          <w:sz w:val="32"/>
          <w:szCs w:val="28"/>
          <w14:textFill>
            <w14:solidFill>
              <w14:schemeClr w14:val="tx1"/>
            </w14:solidFill>
          </w14:textFill>
        </w:rPr>
        <w:t>年）》《广西壮族自治区水网建设规划》《广西“十四五”水安全保障规划》等有关规划成果，对现有大中型灌区内已建大中小型水库、引调水工程、提水泵站等灌溉水源工程进行挖潜改造；按照实施深度节水控水的要求，对全区现有大中型灌区开展续建配套与现代化改造，在充分了解灌区配套情况、完好情况、安全情况、节水情况等的基础上，实施骨干输配水工程续改建，包括渠道、渠系配套建筑物等；实施骨干排水工程续改建，包括排水沟、排水涵闸等；聚焦解决灌区病险、</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卡脖子</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及骨干渠段严重渗漏等突出问题，提高灌溉水利用效率，充分发挥灌区效益，提升粮食、糖料蔗生产安全保障能力，增强重要农产品供给能力；结合现有灌区高效节水灌溉任务，开展量测水设施、信息化等建设，打造</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设施完善、技术先进、管理科学、用水高效</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的现代化灌区。</w:t>
      </w:r>
    </w:p>
    <w:p>
      <w:pPr>
        <w:spacing w:line="360" w:lineRule="auto"/>
        <w:ind w:firstLine="642" w:firstLineChars="200"/>
        <w:rPr>
          <w:rFonts w:ascii="Times New Roman" w:hAnsi="Times New Roman" w:eastAsia="楷体" w:cs="Times New Roman"/>
          <w:b/>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（二）新建大中型灌区</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依据《“十四五”重大农业节水供水工程实施方案》《广西壮族自治区水网建设规划》《广西“十四五”水安全保障规划》等有关规划成果，以粮食生产功能区、糖料蔗重要农产品生产保护区和特色农产品优势区为重点，考虑农村人饮供水需求，在水土资源条件适宜地区，结合蓄、引、提、调水骨干水源工程建设，有序建设一批大中型灌区，扩大有效灌溉面积，整合区域资源优势，稳步提升粮食、糖料蔗生产能力，带动乡村水果、蔬菜、中药材等特色农业产业发展，筑牢“糖罐子”、秋冬菜的“菜篮子”、亚热带水果的“果园子”等稳产保供优供根基，助力乡村振兴，支撑边疆区域高质量发展，筑牢边疆安全。</w:t>
      </w:r>
    </w:p>
    <w:p>
      <w:pPr>
        <w:spacing w:line="360" w:lineRule="auto"/>
        <w:ind w:firstLine="642" w:firstLineChars="200"/>
        <w:rPr>
          <w:rFonts w:ascii="Times New Roman" w:hAnsi="Times New Roman" w:eastAsia="楷体" w:cs="Times New Roman"/>
          <w:b/>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（三）高标准农田灌溉建设</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按照“逐步把永久基本农田全部建成高标准农田”“优先将大中型灌区建成高标准农田”的要求，依据《广西壮族自治区高标准农田建设规划（</w:t>
      </w:r>
      <w:r>
        <w:rPr>
          <w:rFonts w:ascii="Times New Roman" w:hAnsi="Times New Roman" w:eastAsia="仿宋_GB2312" w:cs="Times New Roman"/>
          <w:color w:val="000000" w:themeColor="text1"/>
          <w:sz w:val="32"/>
          <w:szCs w:val="28"/>
          <w14:textFill>
            <w14:solidFill>
              <w14:schemeClr w14:val="tx1"/>
            </w14:solidFill>
          </w14:textFill>
        </w:rPr>
        <w:t>2021—2030</w:t>
      </w:r>
      <w:r>
        <w:rPr>
          <w:rFonts w:hint="eastAsia" w:ascii="Times New Roman" w:hAnsi="Times New Roman" w:eastAsia="仿宋_GB2312" w:cs="Times New Roman"/>
          <w:color w:val="000000" w:themeColor="text1"/>
          <w:sz w:val="32"/>
          <w:szCs w:val="28"/>
          <w14:textFill>
            <w14:solidFill>
              <w14:schemeClr w14:val="tx1"/>
            </w14:solidFill>
          </w14:textFill>
        </w:rPr>
        <w:t>年）》等相关规划成果，以提高粮食、糖料蔗产能为首要目标，确保重要农产品有效供给，基于广西高标准农田建设现状及规划布局，考虑大、中、小灌区水源及渠系工程建设与高标准农田建设统筹规划、协同实施，并实施大中型灌区骨干渠系与高标准农田项目的斗渠、农渠、毛渠等田间末级渠系衔接，有效解决高标准农田灌溉问题，提升农业综合生产能力，促进乡村振兴。</w:t>
      </w:r>
    </w:p>
    <w:p>
      <w:pPr>
        <w:spacing w:line="360" w:lineRule="auto"/>
        <w:ind w:firstLine="642" w:firstLineChars="200"/>
        <w:rPr>
          <w:rFonts w:ascii="Times New Roman" w:hAnsi="Times New Roman" w:eastAsia="楷体" w:cs="Times New Roman"/>
          <w:b/>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（四）小型农</w:t>
      </w:r>
      <w:r>
        <w:rPr>
          <w:rFonts w:hint="eastAsia" w:ascii="Times New Roman" w:hAnsi="Times New Roman" w:eastAsia="楷体" w:cs="Times New Roman"/>
          <w:b/>
          <w:color w:val="000000" w:themeColor="text1"/>
          <w:sz w:val="32"/>
          <w:szCs w:val="28"/>
          <w:lang w:eastAsia="zh-CN"/>
          <w14:textFill>
            <w14:solidFill>
              <w14:schemeClr w14:val="tx1"/>
            </w14:solidFill>
          </w14:textFill>
        </w:rPr>
        <w:t>业</w:t>
      </w:r>
      <w:r>
        <w:rPr>
          <w:rFonts w:hint="eastAsia" w:ascii="Times New Roman" w:hAnsi="Times New Roman" w:eastAsia="楷体" w:cs="Times New Roman"/>
          <w:b/>
          <w:color w:val="000000" w:themeColor="text1"/>
          <w:sz w:val="32"/>
          <w:szCs w:val="28"/>
          <w14:textFill>
            <w14:solidFill>
              <w14:schemeClr w14:val="tx1"/>
            </w14:solidFill>
          </w14:textFill>
        </w:rPr>
        <w:t>水利建设</w:t>
      </w:r>
      <w:r>
        <w:rPr>
          <w:rFonts w:ascii="Times New Roman" w:hAnsi="Times New Roman" w:eastAsia="楷体" w:cs="Times New Roman"/>
          <w:b/>
          <w:color w:val="000000" w:themeColor="text1"/>
          <w:sz w:val="32"/>
          <w:szCs w:val="28"/>
          <w14:textFill>
            <w14:solidFill>
              <w14:schemeClr w14:val="tx1"/>
            </w14:solidFill>
          </w14:textFill>
        </w:rPr>
        <w:t xml:space="preserve"> </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依据《广西“十四五”节水型社会建设规划》《广西小型农业水利设施建设与管护攻坚行动方案（</w:t>
      </w:r>
      <w:r>
        <w:rPr>
          <w:rFonts w:ascii="Times New Roman" w:hAnsi="Times New Roman" w:eastAsia="仿宋_GB2312" w:cs="Times New Roman"/>
          <w:color w:val="000000" w:themeColor="text1"/>
          <w:sz w:val="32"/>
          <w:szCs w:val="28"/>
          <w14:textFill>
            <w14:solidFill>
              <w14:schemeClr w14:val="tx1"/>
            </w14:solidFill>
          </w14:textFill>
        </w:rPr>
        <w:t>2024-2027</w:t>
      </w:r>
      <w:r>
        <w:rPr>
          <w:rFonts w:hint="eastAsia" w:ascii="Times New Roman" w:hAnsi="Times New Roman" w:eastAsia="仿宋_GB2312" w:cs="Times New Roman"/>
          <w:color w:val="000000" w:themeColor="text1"/>
          <w:sz w:val="32"/>
          <w:szCs w:val="28"/>
          <w14:textFill>
            <w14:solidFill>
              <w14:schemeClr w14:val="tx1"/>
            </w14:solidFill>
          </w14:textFill>
        </w:rPr>
        <w:t>年）》等相关要求，推进广西小型灌区工程建设，因地制宜开展山塘、水池、水柜、小型泵站、灌溉机井、引提水陂坝、堰闸、小型灌排渠系（涵道、管道）等小型农业水利设施新建和改造。</w:t>
      </w:r>
      <w:r>
        <w:rPr>
          <w:rFonts w:ascii="Times New Roman" w:hAnsi="Times New Roman" w:eastAsia="仿宋_GB2312" w:cs="Times New Roman"/>
          <w:color w:val="000000" w:themeColor="text1"/>
          <w:sz w:val="32"/>
          <w:szCs w:val="28"/>
          <w14:textFill>
            <w14:solidFill>
              <w14:schemeClr w14:val="tx1"/>
            </w14:solidFill>
          </w14:textFill>
        </w:rPr>
        <w:t xml:space="preserve"> </w:t>
      </w: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八、灌溉管理任务</w:t>
      </w:r>
    </w:p>
    <w:p>
      <w:pPr>
        <w:spacing w:line="360" w:lineRule="auto"/>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sz w:val="32"/>
        </w:rPr>
        <mc:AlternateContent>
          <mc:Choice Requires="wps">
            <w:drawing>
              <wp:anchor distT="0" distB="0" distL="114300" distR="114300" simplePos="0" relativeHeight="251658240" behindDoc="0" locked="0" layoutInCell="1" allowOverlap="1">
                <wp:simplePos x="0" y="0"/>
                <wp:positionH relativeFrom="column">
                  <wp:posOffset>2936875</wp:posOffset>
                </wp:positionH>
                <wp:positionV relativeFrom="paragraph">
                  <wp:posOffset>5474335</wp:posOffset>
                </wp:positionV>
                <wp:extent cx="635" cy="8255"/>
                <wp:effectExtent l="9525" t="9525" r="8890" b="10795"/>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5">
                          <w14:nvContentPartPr>
                            <w14:cNvPr id="1" name="墨迹 1"/>
                            <w14:cNvContentPartPr/>
                          </w14:nvContentPartPr>
                          <w14:xfrm>
                            <a:off x="4079875" y="9162415"/>
                            <a:ext cx="635" cy="8255"/>
                          </w14:xfrm>
                        </w14:contentPart>
                      </mc:Choice>
                    </mc:AlternateContent>
                  </a:graphicData>
                </a:graphic>
              </wp:anchor>
            </w:drawing>
          </mc:Choice>
          <mc:Fallback>
            <w:pict>
              <v:shape id="_x0000_s1026" o:spid="_x0000_s1026" o:spt="75" style="position:absolute;left:0pt;margin-left:231.25pt;margin-top:431.05pt;height:0.65pt;width:0.05pt;z-index:251658240;mso-width-relative:page;mso-height-relative:page;" coordsize="21600,21600" o:gfxdata="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">
                <v:imagedata r:id="rId6" o:title=""/>
                <o:lock v:ext="edit"/>
              </v:shape>
            </w:pict>
          </mc:Fallback>
        </mc:AlternateContent>
      </w:r>
      <w:r>
        <w:rPr>
          <w:rFonts w:hint="eastAsia" w:ascii="Times New Roman" w:hAnsi="Times New Roman" w:eastAsia="仿宋_GB2312" w:cs="Times New Roman"/>
          <w:b/>
          <w:color w:val="000000" w:themeColor="text1"/>
          <w:sz w:val="32"/>
          <w:szCs w:val="28"/>
          <w14:textFill>
            <w14:solidFill>
              <w14:schemeClr w14:val="tx1"/>
            </w14:solidFill>
          </w14:textFill>
        </w:rPr>
        <w:t>一是投入机制创新，</w:t>
      </w:r>
      <w:r>
        <w:rPr>
          <w:rFonts w:hint="eastAsia" w:ascii="Times New Roman" w:hAnsi="Times New Roman" w:eastAsia="仿宋_GB2312" w:cs="Times New Roman"/>
          <w:color w:val="000000" w:themeColor="text1"/>
          <w:sz w:val="32"/>
          <w:szCs w:val="28"/>
          <w14:textFill>
            <w14:solidFill>
              <w14:schemeClr w14:val="tx1"/>
            </w14:solidFill>
          </w14:textFill>
        </w:rPr>
        <w:t>构建多元化水利投融资机制，充分发挥政府投入主渠道作用积极争取公共财政投入，大力争取金融政策资金投入，鼓励和引导社会资本参与投资。</w:t>
      </w:r>
      <w:r>
        <w:rPr>
          <w:rFonts w:hint="eastAsia" w:ascii="Times New Roman" w:hAnsi="Times New Roman" w:eastAsia="仿宋_GB2312" w:cs="Times New Roman"/>
          <w:b/>
          <w:color w:val="000000" w:themeColor="text1"/>
          <w:sz w:val="32"/>
          <w:szCs w:val="28"/>
          <w14:textFill>
            <w14:solidFill>
              <w14:schemeClr w14:val="tx1"/>
            </w14:solidFill>
          </w14:textFill>
        </w:rPr>
        <w:t>二是建设体制创新，</w:t>
      </w:r>
      <w:r>
        <w:rPr>
          <w:rFonts w:hint="eastAsia" w:ascii="Times New Roman" w:hAnsi="Times New Roman" w:eastAsia="仿宋_GB2312" w:cs="Times New Roman"/>
          <w:color w:val="000000" w:themeColor="text1"/>
          <w:sz w:val="32"/>
          <w:szCs w:val="28"/>
          <w14:textFill>
            <w14:solidFill>
              <w14:schemeClr w14:val="tx1"/>
            </w14:solidFill>
          </w14:textFill>
        </w:rPr>
        <w:t>建立权责一致的水利工程建设项目法人运行机制，深化水利工程建设项目法人改革，提高项目法人履职能力。</w:t>
      </w:r>
      <w:r>
        <w:rPr>
          <w:rFonts w:hint="eastAsia" w:ascii="Times New Roman" w:hAnsi="Times New Roman" w:eastAsia="仿宋_GB2312" w:cs="Times New Roman"/>
          <w:b/>
          <w:color w:val="000000" w:themeColor="text1"/>
          <w:sz w:val="32"/>
          <w:szCs w:val="28"/>
          <w14:textFill>
            <w14:solidFill>
              <w14:schemeClr w14:val="tx1"/>
            </w14:solidFill>
          </w14:textFill>
        </w:rPr>
        <w:t>三是管理体制创新，</w:t>
      </w:r>
      <w:r>
        <w:rPr>
          <w:rFonts w:hint="eastAsia" w:ascii="Times New Roman" w:hAnsi="Times New Roman" w:eastAsia="仿宋_GB2312" w:cs="Times New Roman"/>
          <w:color w:val="000000" w:themeColor="text1"/>
          <w:sz w:val="32"/>
          <w:szCs w:val="28"/>
          <w14:textFill>
            <w14:solidFill>
              <w14:schemeClr w14:val="tx1"/>
            </w14:solidFill>
          </w14:textFill>
        </w:rPr>
        <w:t>建立范围明确、权属清晰的灌溉工程管理保护责任体系和灌区“最后一公里”长效管理体制；明确各级政府和部门的职责分工，加强协同合作；探索灌区物业化管理模式，优化管理机构和管理人员设置；建立健全农田水利工作考核评估制度；积极开展灌区标准化规范化管理建设工作，创建自治区级和国家级的标准化规范化管理灌区、节水型灌区。</w:t>
      </w:r>
      <w:r>
        <w:rPr>
          <w:rFonts w:hint="eastAsia" w:ascii="Times New Roman" w:hAnsi="Times New Roman" w:eastAsia="仿宋_GB2312" w:cs="Times New Roman"/>
          <w:b/>
          <w:color w:val="000000" w:themeColor="text1"/>
          <w:sz w:val="32"/>
          <w:szCs w:val="28"/>
          <w14:textFill>
            <w14:solidFill>
              <w14:schemeClr w14:val="tx1"/>
            </w14:solidFill>
          </w14:textFill>
        </w:rPr>
        <w:t>四是持续推进农业水价综合改革，</w:t>
      </w:r>
      <w:r>
        <w:rPr>
          <w:rFonts w:hint="eastAsia" w:ascii="Times New Roman" w:hAnsi="Times New Roman" w:eastAsia="仿宋_GB2312" w:cs="Times New Roman"/>
          <w:bCs/>
          <w:color w:val="000000" w:themeColor="text1"/>
          <w:sz w:val="32"/>
          <w:szCs w:val="28"/>
          <w14:textFill>
            <w14:solidFill>
              <w14:schemeClr w14:val="tx1"/>
            </w14:solidFill>
          </w14:textFill>
        </w:rPr>
        <w:t>完善供水计量设施，建立符合广西用水总量控制指标和灌溉用水定额的农业水权制度，</w:t>
      </w:r>
      <w:r>
        <w:rPr>
          <w:rFonts w:hint="eastAsia" w:ascii="Times New Roman" w:hAnsi="Times New Roman" w:eastAsia="仿宋_GB2312" w:cs="Times New Roman"/>
          <w:color w:val="000000" w:themeColor="text1"/>
          <w:sz w:val="32"/>
          <w:szCs w:val="28"/>
          <w14:textFill>
            <w14:solidFill>
              <w14:schemeClr w14:val="tx1"/>
            </w14:solidFill>
          </w14:textFill>
        </w:rPr>
        <w:t>建立合理的农业水价形成机制</w:t>
      </w:r>
      <w:r>
        <w:rPr>
          <w:rFonts w:hint="eastAsia" w:ascii="Times New Roman" w:hAnsi="Times New Roman" w:eastAsia="仿宋_GB2312" w:cs="Times New Roman"/>
          <w:color w:val="000000" w:themeColor="text1"/>
          <w:sz w:val="32"/>
          <w:szCs w:val="28"/>
          <w:lang w:eastAsia="zh-CN"/>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精准补贴和节水奖励机制。</w:t>
      </w:r>
      <w:r>
        <w:rPr>
          <w:rFonts w:hint="eastAsia" w:ascii="Times New Roman" w:hAnsi="Times New Roman" w:eastAsia="仿宋_GB2312" w:cs="Times New Roman"/>
          <w:b/>
          <w:color w:val="000000" w:themeColor="text1"/>
          <w:sz w:val="32"/>
          <w:szCs w:val="28"/>
          <w14:textFill>
            <w14:solidFill>
              <w14:schemeClr w14:val="tx1"/>
            </w14:solidFill>
          </w14:textFill>
        </w:rPr>
        <w:t>五是智慧灌区建设，</w:t>
      </w:r>
      <w:r>
        <w:rPr>
          <w:rFonts w:hint="eastAsia" w:ascii="Times New Roman" w:hAnsi="Times New Roman" w:eastAsia="仿宋_GB2312" w:cs="Times New Roman"/>
          <w:color w:val="000000" w:themeColor="text1"/>
          <w:sz w:val="32"/>
          <w:szCs w:val="28"/>
          <w14:textFill>
            <w14:solidFill>
              <w14:schemeClr w14:val="tx1"/>
            </w14:solidFill>
          </w14:textFill>
        </w:rPr>
        <w:t>构建现代化灌溉管理体系，引入先进信息技术，构建智慧灌溉系统，实现对灌溉设施的远程监控和精准调度，并定期对灌溉设施进行检查和维护，确保其正常运行。</w:t>
      </w:r>
      <w:r>
        <w:rPr>
          <w:rFonts w:hint="eastAsia" w:ascii="Times New Roman" w:hAnsi="Times New Roman" w:eastAsia="仿宋_GB2312" w:cs="Times New Roman"/>
          <w:b/>
          <w:color w:val="000000" w:themeColor="text1"/>
          <w:sz w:val="32"/>
          <w:szCs w:val="28"/>
          <w14:textFill>
            <w14:solidFill>
              <w14:schemeClr w14:val="tx1"/>
            </w14:solidFill>
          </w14:textFill>
        </w:rPr>
        <w:t>六是科技创新，</w:t>
      </w:r>
      <w:r>
        <w:rPr>
          <w:rFonts w:hint="eastAsia" w:ascii="Times New Roman" w:hAnsi="Times New Roman" w:eastAsia="仿宋_GB2312" w:cs="Times New Roman"/>
          <w:color w:val="000000" w:themeColor="text1"/>
          <w:sz w:val="32"/>
          <w:szCs w:val="28"/>
          <w14:textFill>
            <w14:solidFill>
              <w14:schemeClr w14:val="tx1"/>
            </w14:solidFill>
          </w14:textFill>
        </w:rPr>
        <w:t>加大丰水地区节水技术、理论与政策研究，加大大石山区旱地农业节水与生态开发模式研究；持续开展广西特色农作物、水稻、海水稻、再生稻等灌溉试验，不断完善相关灌溉制度；加强重点实验室、野外科学观测研究站、科技成果转化中试研究基地等平台建设，完善灌溉试验站网建设，加强农田灌溉科技引领。</w:t>
      </w:r>
    </w:p>
    <w:p>
      <w:pPr>
        <w:spacing w:line="360" w:lineRule="auto"/>
        <w:ind w:firstLine="640" w:firstLineChars="200"/>
        <w:rPr>
          <w:rFonts w:ascii="Times New Roman" w:hAnsi="Times New Roman" w:eastAsia="黑体" w:cs="Times New Roman"/>
          <w:color w:val="000000" w:themeColor="text1"/>
          <w:sz w:val="32"/>
          <w:szCs w:val="28"/>
          <w14:textFill>
            <w14:solidFill>
              <w14:schemeClr w14:val="tx1"/>
            </w14:solidFill>
          </w14:textFill>
        </w:rPr>
      </w:pPr>
      <w:r>
        <w:rPr>
          <w:rFonts w:hint="eastAsia" w:ascii="Times New Roman" w:hAnsi="Times New Roman" w:eastAsia="黑体" w:cs="Times New Roman"/>
          <w:color w:val="000000" w:themeColor="text1"/>
          <w:sz w:val="32"/>
          <w:szCs w:val="28"/>
          <w14:textFill>
            <w14:solidFill>
              <w14:schemeClr w14:val="tx1"/>
            </w14:solidFill>
          </w14:textFill>
        </w:rPr>
        <w:t>八、保障措施</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（一）加强组织领导。</w:t>
      </w:r>
      <w:r>
        <w:rPr>
          <w:rFonts w:hint="eastAsia" w:ascii="Times New Roman" w:hAnsi="Times New Roman" w:eastAsia="仿宋_GB2312" w:cs="Times New Roman"/>
          <w:color w:val="000000" w:themeColor="text1"/>
          <w:sz w:val="32"/>
          <w:szCs w:val="28"/>
          <w14:textFill>
            <w14:solidFill>
              <w14:schemeClr w14:val="tx1"/>
            </w14:solidFill>
          </w14:textFill>
        </w:rPr>
        <w:t>坚持自治区统筹、市县抓落实，强化组织领导，加强部门联动、区域协同，健全部门协调、上下联动的工作机制，切实推动农田灌溉发展工作各项措施落实落地。</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（二）落实目标责任。</w:t>
      </w:r>
      <w:r>
        <w:rPr>
          <w:rFonts w:hint="eastAsia" w:ascii="Times New Roman" w:hAnsi="Times New Roman" w:eastAsia="仿宋_GB2312" w:cs="Times New Roman"/>
          <w:color w:val="000000" w:themeColor="text1"/>
          <w:sz w:val="32"/>
          <w:szCs w:val="28"/>
          <w14:textFill>
            <w14:solidFill>
              <w14:schemeClr w14:val="tx1"/>
            </w14:solidFill>
          </w14:textFill>
        </w:rPr>
        <w:t>按照政府推动、分级负责的要求，层层落实工作责任，并把农田灌溉发展规划的各项工作任务和要求分解到各县（市、区），建立和落实农田灌溉建设的目标责任制。建立健全灌溉发展规划各项建设和运行管理工作制度，规范灌区工程的建设、管理等。</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（三）推动前期工作。</w:t>
      </w:r>
      <w:r>
        <w:rPr>
          <w:rFonts w:hint="eastAsia" w:ascii="Times New Roman" w:hAnsi="Times New Roman" w:eastAsia="仿宋_GB2312" w:cs="Times New Roman"/>
          <w:color w:val="000000" w:themeColor="text1"/>
          <w:sz w:val="32"/>
          <w:szCs w:val="28"/>
          <w14:textFill>
            <w14:solidFill>
              <w14:schemeClr w14:val="tx1"/>
            </w14:solidFill>
          </w14:textFill>
        </w:rPr>
        <w:t>加强对市县项目建设的技术指导和政策引导。认真履行项目建设程序，扎实做好项目前期工作，妥善解决好工程建设中的生态环境保护、移民征地、水量分配、利益协调等问题，加强建设方案比选论证，合理确定建设方案。</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（四）强化监督管理。</w:t>
      </w:r>
      <w:r>
        <w:rPr>
          <w:rFonts w:hint="eastAsia" w:ascii="Times New Roman" w:hAnsi="Times New Roman" w:eastAsia="仿宋_GB2312" w:cs="Times New Roman"/>
          <w:color w:val="000000" w:themeColor="text1"/>
          <w:sz w:val="32"/>
          <w:szCs w:val="28"/>
          <w14:textFill>
            <w14:solidFill>
              <w14:schemeClr w14:val="tx1"/>
            </w14:solidFill>
          </w14:textFill>
        </w:rPr>
        <w:t>对规划实施进展进行跟踪分析，对项目建设进行全面管理，强化灌区工程前期工作、建设过程、运行管理的监督。加强资金监管职责，确保资金使用效益。完善公众监督和参与机制，开展公益宣传和舆论监督，营造良好的社会监督氛围。</w:t>
      </w:r>
    </w:p>
    <w:p>
      <w:pPr>
        <w:spacing w:line="360" w:lineRule="auto"/>
        <w:ind w:firstLine="642"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楷体" w:cs="Times New Roman"/>
          <w:b/>
          <w:color w:val="000000" w:themeColor="text1"/>
          <w:sz w:val="32"/>
          <w:szCs w:val="28"/>
          <w14:textFill>
            <w14:solidFill>
              <w14:schemeClr w14:val="tx1"/>
            </w14:solidFill>
          </w14:textFill>
        </w:rPr>
        <w:t>（五）加强科技引领。</w:t>
      </w:r>
      <w:r>
        <w:rPr>
          <w:rFonts w:hint="eastAsia" w:ascii="Times New Roman" w:hAnsi="Times New Roman" w:eastAsia="仿宋_GB2312" w:cs="Times New Roman"/>
          <w:color w:val="000000" w:themeColor="text1"/>
          <w:sz w:val="32"/>
          <w:szCs w:val="28"/>
          <w14:textFill>
            <w14:solidFill>
              <w14:schemeClr w14:val="tx1"/>
            </w14:solidFill>
          </w14:textFill>
        </w:rPr>
        <w:t>强化丰水地区、大石山区节水技术与模式研究，开展农田灌溉预警预报、智慧灌区建设等技术攻关，筛选先进实用技术，在农业灌溉供水工程建设管理中推广应用。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06980"/>
      <w:docPartObj>
        <w:docPartGallery w:val="autotext"/>
      </w:docPartObj>
    </w:sdtPr>
    <w:sdtContent>
      <w:p>
        <w:pPr>
          <w:pStyle w:val="3"/>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10</w:t>
        </w:r>
        <w:r>
          <w:rPr>
            <w:rFonts w:ascii="Times New Roman" w:hAnsi="Times New Roman" w:cs="Times New Roma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3C"/>
    <w:rsid w:val="000001E0"/>
    <w:rsid w:val="00004202"/>
    <w:rsid w:val="00005CF2"/>
    <w:rsid w:val="00046AA3"/>
    <w:rsid w:val="00052909"/>
    <w:rsid w:val="0005433C"/>
    <w:rsid w:val="0006083D"/>
    <w:rsid w:val="0006169A"/>
    <w:rsid w:val="00075F64"/>
    <w:rsid w:val="00076E59"/>
    <w:rsid w:val="000814DB"/>
    <w:rsid w:val="00084A05"/>
    <w:rsid w:val="000A14A7"/>
    <w:rsid w:val="000A7AEE"/>
    <w:rsid w:val="000A7C2C"/>
    <w:rsid w:val="000B00A6"/>
    <w:rsid w:val="000B3723"/>
    <w:rsid w:val="000B3FB2"/>
    <w:rsid w:val="000C1759"/>
    <w:rsid w:val="00112D82"/>
    <w:rsid w:val="00113A48"/>
    <w:rsid w:val="00130CB6"/>
    <w:rsid w:val="0013713F"/>
    <w:rsid w:val="00166E1A"/>
    <w:rsid w:val="00187933"/>
    <w:rsid w:val="001B1AB8"/>
    <w:rsid w:val="00225298"/>
    <w:rsid w:val="0028675A"/>
    <w:rsid w:val="002A2874"/>
    <w:rsid w:val="002B1783"/>
    <w:rsid w:val="002D7A91"/>
    <w:rsid w:val="002E0CFF"/>
    <w:rsid w:val="002E6585"/>
    <w:rsid w:val="002F14BC"/>
    <w:rsid w:val="002F1838"/>
    <w:rsid w:val="0030339F"/>
    <w:rsid w:val="00311231"/>
    <w:rsid w:val="00337629"/>
    <w:rsid w:val="00337BB6"/>
    <w:rsid w:val="00355BF6"/>
    <w:rsid w:val="00364421"/>
    <w:rsid w:val="00367302"/>
    <w:rsid w:val="00384B00"/>
    <w:rsid w:val="003A34C6"/>
    <w:rsid w:val="003A58B7"/>
    <w:rsid w:val="003C7FD3"/>
    <w:rsid w:val="003D1341"/>
    <w:rsid w:val="003D17DA"/>
    <w:rsid w:val="003E1AFB"/>
    <w:rsid w:val="0043094F"/>
    <w:rsid w:val="0043377D"/>
    <w:rsid w:val="00455CB3"/>
    <w:rsid w:val="0046703A"/>
    <w:rsid w:val="004776F4"/>
    <w:rsid w:val="00484174"/>
    <w:rsid w:val="00487BC0"/>
    <w:rsid w:val="00492519"/>
    <w:rsid w:val="004A3584"/>
    <w:rsid w:val="004B1011"/>
    <w:rsid w:val="004B13E1"/>
    <w:rsid w:val="004B15CF"/>
    <w:rsid w:val="004B3676"/>
    <w:rsid w:val="004C5EBE"/>
    <w:rsid w:val="004D4902"/>
    <w:rsid w:val="0050260A"/>
    <w:rsid w:val="005313A0"/>
    <w:rsid w:val="00532B65"/>
    <w:rsid w:val="00555AE0"/>
    <w:rsid w:val="005601FE"/>
    <w:rsid w:val="005640C2"/>
    <w:rsid w:val="00571E27"/>
    <w:rsid w:val="00581EDB"/>
    <w:rsid w:val="005931F9"/>
    <w:rsid w:val="005934C4"/>
    <w:rsid w:val="00594D69"/>
    <w:rsid w:val="005B40C0"/>
    <w:rsid w:val="005D7CC4"/>
    <w:rsid w:val="005F2948"/>
    <w:rsid w:val="00610830"/>
    <w:rsid w:val="00614924"/>
    <w:rsid w:val="006159C2"/>
    <w:rsid w:val="00620C28"/>
    <w:rsid w:val="00621004"/>
    <w:rsid w:val="00662589"/>
    <w:rsid w:val="00663DC6"/>
    <w:rsid w:val="00676261"/>
    <w:rsid w:val="006A09BA"/>
    <w:rsid w:val="006A3722"/>
    <w:rsid w:val="006C1AA4"/>
    <w:rsid w:val="006D7D73"/>
    <w:rsid w:val="007243E8"/>
    <w:rsid w:val="00731856"/>
    <w:rsid w:val="00741662"/>
    <w:rsid w:val="00753954"/>
    <w:rsid w:val="00763748"/>
    <w:rsid w:val="00773F02"/>
    <w:rsid w:val="007747FB"/>
    <w:rsid w:val="007A0B75"/>
    <w:rsid w:val="007A5F9E"/>
    <w:rsid w:val="007B2085"/>
    <w:rsid w:val="007B63ED"/>
    <w:rsid w:val="007C373C"/>
    <w:rsid w:val="00801602"/>
    <w:rsid w:val="0080284B"/>
    <w:rsid w:val="0080396C"/>
    <w:rsid w:val="00810D3A"/>
    <w:rsid w:val="008228D1"/>
    <w:rsid w:val="00823236"/>
    <w:rsid w:val="0083020C"/>
    <w:rsid w:val="00830ADD"/>
    <w:rsid w:val="008515B7"/>
    <w:rsid w:val="008616F1"/>
    <w:rsid w:val="008C464F"/>
    <w:rsid w:val="008D5E62"/>
    <w:rsid w:val="008E2421"/>
    <w:rsid w:val="008E7E9A"/>
    <w:rsid w:val="008F1667"/>
    <w:rsid w:val="00900A22"/>
    <w:rsid w:val="00924C4A"/>
    <w:rsid w:val="00926D69"/>
    <w:rsid w:val="00930127"/>
    <w:rsid w:val="00943B0A"/>
    <w:rsid w:val="0095115E"/>
    <w:rsid w:val="0096492B"/>
    <w:rsid w:val="00967623"/>
    <w:rsid w:val="00971541"/>
    <w:rsid w:val="00980B02"/>
    <w:rsid w:val="009839D7"/>
    <w:rsid w:val="009931C0"/>
    <w:rsid w:val="00995B87"/>
    <w:rsid w:val="009B645C"/>
    <w:rsid w:val="009B7DD4"/>
    <w:rsid w:val="009D3900"/>
    <w:rsid w:val="009E0AE6"/>
    <w:rsid w:val="009E1FC0"/>
    <w:rsid w:val="00A2391C"/>
    <w:rsid w:val="00A81B18"/>
    <w:rsid w:val="00A82EC0"/>
    <w:rsid w:val="00A87A8B"/>
    <w:rsid w:val="00AB0ED1"/>
    <w:rsid w:val="00AB2B46"/>
    <w:rsid w:val="00AB448A"/>
    <w:rsid w:val="00AB4CDA"/>
    <w:rsid w:val="00AC3D41"/>
    <w:rsid w:val="00AD2BEB"/>
    <w:rsid w:val="00AD6549"/>
    <w:rsid w:val="00B054C1"/>
    <w:rsid w:val="00B22B7A"/>
    <w:rsid w:val="00B350AA"/>
    <w:rsid w:val="00B46F51"/>
    <w:rsid w:val="00B742D7"/>
    <w:rsid w:val="00B777A9"/>
    <w:rsid w:val="00B9676E"/>
    <w:rsid w:val="00BB772D"/>
    <w:rsid w:val="00BD5F88"/>
    <w:rsid w:val="00BE5C5D"/>
    <w:rsid w:val="00BF1E66"/>
    <w:rsid w:val="00C02814"/>
    <w:rsid w:val="00C03821"/>
    <w:rsid w:val="00C04BD2"/>
    <w:rsid w:val="00C1474A"/>
    <w:rsid w:val="00C212F3"/>
    <w:rsid w:val="00C348BE"/>
    <w:rsid w:val="00C47AD3"/>
    <w:rsid w:val="00C56FCC"/>
    <w:rsid w:val="00C75813"/>
    <w:rsid w:val="00CD194F"/>
    <w:rsid w:val="00CE4F3F"/>
    <w:rsid w:val="00CF332D"/>
    <w:rsid w:val="00D034AA"/>
    <w:rsid w:val="00D102FB"/>
    <w:rsid w:val="00D20369"/>
    <w:rsid w:val="00D32189"/>
    <w:rsid w:val="00D46EDB"/>
    <w:rsid w:val="00D50A03"/>
    <w:rsid w:val="00D5564B"/>
    <w:rsid w:val="00D67BE1"/>
    <w:rsid w:val="00D93ED8"/>
    <w:rsid w:val="00DC49FB"/>
    <w:rsid w:val="00DC6A5C"/>
    <w:rsid w:val="00DC7FB6"/>
    <w:rsid w:val="00DD230C"/>
    <w:rsid w:val="00E21C9D"/>
    <w:rsid w:val="00E8679F"/>
    <w:rsid w:val="00E86E04"/>
    <w:rsid w:val="00EA388C"/>
    <w:rsid w:val="00EA42DC"/>
    <w:rsid w:val="00EA5C76"/>
    <w:rsid w:val="00EB2F50"/>
    <w:rsid w:val="00EC1694"/>
    <w:rsid w:val="00EE54B1"/>
    <w:rsid w:val="00F02202"/>
    <w:rsid w:val="00F0442E"/>
    <w:rsid w:val="00F07FA3"/>
    <w:rsid w:val="00F275F0"/>
    <w:rsid w:val="00F54339"/>
    <w:rsid w:val="00FB5D73"/>
    <w:rsid w:val="00FD6405"/>
    <w:rsid w:val="AFBA3EB0"/>
    <w:rsid w:val="FBF4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1-04T16:57:35"/>
    </inkml:context>
    <inkml:brush xml:id="br0">
      <inkml:brushProperty name="width" value="0.05292" units="cm"/>
      <inkml:brushProperty name="height" value="0.05292" units="cm"/>
      <inkml:brushProperty name="color" value="#ff0000"/>
      <inkml:brushProperty name="ignorePressure" value="false"/>
    </inkml:brush>
  </inkml:definitions>
  <inkml:trace contextRef="#ctx0" brushRef="#br0">6709 110359,'0'-14</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712</Words>
  <Characters>4065</Characters>
  <Lines>33</Lines>
  <Paragraphs>9</Paragraphs>
  <TotalTime>2</TotalTime>
  <ScaleCrop>false</ScaleCrop>
  <LinksUpToDate>false</LinksUpToDate>
  <CharactersWithSpaces>4768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2024-10-30T16:24:00Z</dcterms:created>
  <dc:creator>李琦芸</dc:creator>
  <cp:lastModifiedBy>gxxc</cp:lastModifiedBy>
  <cp:lastPrinted>2024-11-05T00:47:00Z</cp:lastPrinted>
  <dcterms:modified xsi:type="dcterms:W3CDTF">2024-11-04T17:23:47Z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